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eastAsia="宋体" w:cs="宋体"/>
          <w:b/>
          <w:bCs/>
          <w:color w:val="000000"/>
          <w:sz w:val="24"/>
          <w:szCs w:val="24"/>
        </w:rPr>
        <w:t>受</w:t>
      </w:r>
      <w:r>
        <w:rPr>
          <w:rFonts w:hint="eastAsia" w:ascii="宋体" w:hAnsi="宋体" w:cs="宋体"/>
          <w:b/>
          <w:bCs/>
          <w:sz w:val="24"/>
          <w:lang w:eastAsia="zh-CN"/>
        </w:rPr>
        <w:t>宁波市镇海区骆驼房地产开发有限公司</w:t>
      </w:r>
      <w:r>
        <w:rPr>
          <w:rFonts w:hint="eastAsia" w:ascii="宋体" w:hAnsi="宋体" w:eastAsia="宋体" w:cs="宋体"/>
          <w:b/>
          <w:bCs/>
          <w:color w:val="000000"/>
          <w:sz w:val="24"/>
          <w:szCs w:val="24"/>
        </w:rPr>
        <w:t>委托</w:t>
      </w:r>
      <w:r>
        <w:rPr>
          <w:rFonts w:hint="eastAsia" w:ascii="宋体" w:hAnsi="宋体" w:cs="宋体"/>
          <w:b/>
          <w:bCs/>
          <w:color w:val="000000"/>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8</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pPr>
        <w:spacing w:line="420" w:lineRule="exact"/>
        <w:ind w:firstLine="482" w:firstLineChars="200"/>
        <w:rPr>
          <w:rFonts w:hint="default" w:ascii="宋体" w:hAnsi="宋体" w:eastAsia="宋体"/>
          <w:b/>
          <w:color w:val="auto"/>
          <w:sz w:val="24"/>
          <w:szCs w:val="24"/>
          <w:lang w:val="en-US" w:eastAsia="zh-CN"/>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r>
        <w:rPr>
          <w:rFonts w:hint="eastAsia" w:ascii="宋体" w:hAnsi="宋体"/>
          <w:b/>
          <w:color w:val="auto"/>
          <w:sz w:val="24"/>
          <w:szCs w:val="24"/>
          <w:lang w:val="en-US" w:eastAsia="zh-CN"/>
        </w:rPr>
        <w:t xml:space="preserve">   </w:t>
      </w:r>
    </w:p>
    <w:tbl>
      <w:tblPr>
        <w:tblStyle w:val="8"/>
        <w:tblpPr w:leftFromText="180" w:rightFromText="180" w:vertAnchor="text" w:horzAnchor="page" w:tblpX="1140" w:tblpY="289"/>
        <w:tblOverlap w:val="never"/>
        <w:tblW w:w="93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167"/>
        <w:gridCol w:w="1716"/>
        <w:gridCol w:w="1804"/>
        <w:gridCol w:w="1068"/>
        <w:gridCol w:w="1492"/>
        <w:gridCol w:w="14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8" w:hRule="atLeast"/>
        </w:trPr>
        <w:tc>
          <w:tcPr>
            <w:tcW w:w="638" w:type="dxa"/>
            <w:noWrap w:val="0"/>
            <w:vAlign w:val="center"/>
          </w:tcPr>
          <w:p>
            <w:pPr>
              <w:spacing w:line="260" w:lineRule="exact"/>
              <w:ind w:right="200"/>
              <w:jc w:val="center"/>
              <w:rPr>
                <w:rFonts w:ascii="宋体" w:hAnsi="宋体" w:cs="宋体"/>
                <w:szCs w:val="21"/>
              </w:rPr>
            </w:pPr>
            <w:r>
              <w:rPr>
                <w:rFonts w:hint="eastAsia" w:ascii="宋体" w:hAnsi="宋体" w:cs="宋体"/>
                <w:szCs w:val="21"/>
              </w:rPr>
              <w:t>序号</w:t>
            </w:r>
          </w:p>
        </w:tc>
        <w:tc>
          <w:tcPr>
            <w:tcW w:w="1167" w:type="dxa"/>
            <w:noWrap w:val="0"/>
            <w:vAlign w:val="center"/>
          </w:tcPr>
          <w:p>
            <w:pPr>
              <w:spacing w:line="260" w:lineRule="exact"/>
              <w:ind w:right="200"/>
              <w:jc w:val="center"/>
              <w:rPr>
                <w:rFonts w:ascii="宋体" w:hAnsi="宋体" w:cs="宋体"/>
                <w:szCs w:val="21"/>
              </w:rPr>
            </w:pPr>
            <w:r>
              <w:rPr>
                <w:rFonts w:hint="eastAsia" w:ascii="宋体" w:hAnsi="宋体" w:cs="宋体"/>
                <w:szCs w:val="21"/>
              </w:rPr>
              <w:t>标的</w:t>
            </w:r>
          </w:p>
          <w:p>
            <w:pPr>
              <w:spacing w:line="260" w:lineRule="exact"/>
              <w:ind w:right="200"/>
              <w:jc w:val="center"/>
              <w:rPr>
                <w:rFonts w:ascii="宋体" w:hAnsi="宋体" w:cs="宋体"/>
                <w:szCs w:val="21"/>
              </w:rPr>
            </w:pPr>
            <w:r>
              <w:rPr>
                <w:rFonts w:hint="eastAsia" w:ascii="宋体" w:hAnsi="宋体" w:cs="宋体"/>
                <w:szCs w:val="21"/>
              </w:rPr>
              <w:t>名称</w:t>
            </w:r>
          </w:p>
        </w:tc>
        <w:tc>
          <w:tcPr>
            <w:tcW w:w="1716" w:type="dxa"/>
            <w:noWrap w:val="0"/>
            <w:vAlign w:val="center"/>
          </w:tcPr>
          <w:p>
            <w:pPr>
              <w:spacing w:line="260" w:lineRule="exact"/>
              <w:ind w:right="200"/>
              <w:jc w:val="center"/>
              <w:rPr>
                <w:rFonts w:ascii="宋体" w:hAnsi="宋体" w:cs="宋体"/>
                <w:szCs w:val="21"/>
              </w:rPr>
            </w:pPr>
            <w:r>
              <w:rPr>
                <w:rFonts w:hint="eastAsia" w:ascii="宋体" w:hAnsi="宋体" w:cs="宋体"/>
                <w:szCs w:val="21"/>
              </w:rPr>
              <w:t>规划用途</w:t>
            </w:r>
          </w:p>
        </w:tc>
        <w:tc>
          <w:tcPr>
            <w:tcW w:w="1804" w:type="dxa"/>
            <w:noWrap w:val="0"/>
            <w:vAlign w:val="center"/>
          </w:tcPr>
          <w:p>
            <w:pPr>
              <w:spacing w:line="260" w:lineRule="exact"/>
              <w:ind w:right="200"/>
              <w:jc w:val="center"/>
              <w:rPr>
                <w:rFonts w:ascii="宋体" w:hAnsi="宋体" w:cs="宋体"/>
                <w:szCs w:val="21"/>
              </w:rPr>
            </w:pPr>
            <w:r>
              <w:rPr>
                <w:rFonts w:hint="eastAsia" w:ascii="宋体" w:hAnsi="宋体" w:cs="宋体"/>
                <w:szCs w:val="21"/>
              </w:rPr>
              <w:t>出租建筑面 积（平方米）</w:t>
            </w:r>
          </w:p>
        </w:tc>
        <w:tc>
          <w:tcPr>
            <w:tcW w:w="1068" w:type="dxa"/>
            <w:noWrap w:val="0"/>
            <w:vAlign w:val="center"/>
          </w:tcPr>
          <w:p>
            <w:pPr>
              <w:jc w:val="center"/>
              <w:rPr>
                <w:rFonts w:ascii="宋体" w:hAnsi="宋体" w:cs="宋体"/>
                <w:szCs w:val="21"/>
                <w:lang w:bidi="zh-CN"/>
              </w:rPr>
            </w:pPr>
            <w:r>
              <w:rPr>
                <w:rFonts w:hint="eastAsia" w:ascii="宋体" w:hAnsi="宋体" w:cs="宋体"/>
                <w:szCs w:val="21"/>
                <w:lang w:val="en-US" w:bidi="zh-CN"/>
              </w:rPr>
              <w:t>首年租金起始</w:t>
            </w:r>
            <w:r>
              <w:rPr>
                <w:rFonts w:hint="eastAsia" w:ascii="宋体" w:hAnsi="宋体" w:cs="宋体"/>
                <w:szCs w:val="21"/>
                <w:lang w:val="zh-CN" w:bidi="zh-CN"/>
              </w:rPr>
              <w:t>价（</w:t>
            </w:r>
            <w:r>
              <w:rPr>
                <w:rFonts w:hint="eastAsia" w:ascii="宋体" w:hAnsi="宋体" w:cs="宋体"/>
                <w:szCs w:val="21"/>
                <w:lang w:val="en-US" w:bidi="zh-CN"/>
              </w:rPr>
              <w:t>万</w:t>
            </w:r>
            <w:r>
              <w:rPr>
                <w:rFonts w:hint="eastAsia" w:ascii="宋体" w:hAnsi="宋体" w:cs="宋体"/>
                <w:szCs w:val="21"/>
                <w:lang w:val="zh-CN" w:bidi="zh-CN"/>
              </w:rPr>
              <w:t>元）</w:t>
            </w:r>
            <w:r>
              <w:rPr>
                <w:rFonts w:hint="eastAsia" w:ascii="宋体" w:hAnsi="宋体" w:cs="宋体"/>
                <w:szCs w:val="21"/>
                <w:lang w:bidi="zh-CN"/>
              </w:rPr>
              <w:t>/年</w:t>
            </w:r>
          </w:p>
        </w:tc>
        <w:tc>
          <w:tcPr>
            <w:tcW w:w="1492" w:type="dxa"/>
            <w:noWrap w:val="0"/>
            <w:vAlign w:val="center"/>
          </w:tcPr>
          <w:p>
            <w:pPr>
              <w:jc w:val="center"/>
              <w:rPr>
                <w:rFonts w:hint="eastAsia" w:ascii="宋体" w:hAnsi="宋体" w:cs="宋体"/>
                <w:szCs w:val="21"/>
                <w:lang w:val="en-US" w:bidi="zh-CN"/>
              </w:rPr>
            </w:pPr>
            <w:r>
              <w:rPr>
                <w:rFonts w:hint="eastAsia" w:ascii="宋体" w:hAnsi="宋体" w:cs="宋体"/>
                <w:szCs w:val="21"/>
                <w:lang w:val="en-US" w:bidi="zh-CN"/>
              </w:rPr>
              <w:t>保证金</w:t>
            </w:r>
          </w:p>
          <w:p>
            <w:pPr>
              <w:jc w:val="center"/>
              <w:rPr>
                <w:rFonts w:hint="default" w:ascii="宋体" w:hAnsi="宋体" w:cs="宋体"/>
                <w:szCs w:val="21"/>
                <w:lang w:val="en-US" w:bidi="zh-CN"/>
              </w:rPr>
            </w:pPr>
            <w:r>
              <w:rPr>
                <w:rFonts w:hint="eastAsia" w:ascii="宋体" w:hAnsi="宋体" w:cs="宋体"/>
                <w:szCs w:val="21"/>
                <w:lang w:val="en-US" w:bidi="zh-CN"/>
              </w:rPr>
              <w:t>（万元）</w:t>
            </w:r>
          </w:p>
        </w:tc>
        <w:tc>
          <w:tcPr>
            <w:tcW w:w="1492" w:type="dxa"/>
            <w:noWrap w:val="0"/>
            <w:vAlign w:val="center"/>
          </w:tcPr>
          <w:p>
            <w:pPr>
              <w:spacing w:line="260" w:lineRule="exact"/>
              <w:ind w:right="200"/>
              <w:jc w:val="center"/>
              <w:rPr>
                <w:rFonts w:hint="eastAsia" w:ascii="宋体" w:hAnsi="宋体" w:cs="宋体"/>
                <w:szCs w:val="21"/>
              </w:rPr>
            </w:pPr>
            <w:r>
              <w:rPr>
                <w:rFonts w:hint="eastAsia" w:ascii="宋体" w:hAnsi="宋体" w:cs="宋体"/>
                <w:szCs w:val="21"/>
              </w:rPr>
              <w:t>租赁期限</w:t>
            </w:r>
          </w:p>
          <w:p>
            <w:pPr>
              <w:spacing w:line="260" w:lineRule="exact"/>
              <w:ind w:right="200"/>
              <w:jc w:val="center"/>
              <w:rPr>
                <w:rFonts w:hint="eastAsia" w:ascii="宋体" w:hAnsi="宋体" w:eastAsia="宋体" w:cs="宋体"/>
                <w:szCs w:val="21"/>
                <w:lang w:eastAsia="zh-CN"/>
              </w:rPr>
            </w:pPr>
            <w:r>
              <w:rPr>
                <w:rFonts w:hint="eastAsia" w:ascii="宋体" w:hAnsi="宋体" w:cs="宋体"/>
                <w:szCs w:val="21"/>
                <w:lang w:eastAsia="zh-CN"/>
              </w:rPr>
              <w:t>（</w:t>
            </w:r>
            <w:r>
              <w:rPr>
                <w:rFonts w:hint="eastAsia" w:ascii="宋体" w:hAnsi="宋体" w:cs="宋体"/>
                <w:szCs w:val="21"/>
                <w:lang w:val="en-US" w:eastAsia="zh-CN"/>
              </w:rPr>
              <w:t>年</w:t>
            </w:r>
            <w:r>
              <w:rPr>
                <w:rFonts w:hint="eastAsia" w:ascii="宋体" w:hAnsi="宋体" w:cs="宋体"/>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 w:hRule="atLeast"/>
        </w:trPr>
        <w:tc>
          <w:tcPr>
            <w:tcW w:w="638" w:type="dxa"/>
            <w:vMerge w:val="restart"/>
            <w:noWrap w:val="0"/>
            <w:vAlign w:val="center"/>
          </w:tcPr>
          <w:p>
            <w:pPr>
              <w:spacing w:line="260" w:lineRule="exact"/>
              <w:ind w:right="20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167" w:type="dxa"/>
            <w:noWrap w:val="0"/>
            <w:vAlign w:val="center"/>
          </w:tcPr>
          <w:p>
            <w:pPr>
              <w:spacing w:line="260" w:lineRule="exact"/>
              <w:ind w:right="200"/>
              <w:jc w:val="center"/>
              <w:rPr>
                <w:rFonts w:hint="default" w:eastAsia="宋体"/>
                <w:lang w:val="en-US" w:eastAsia="zh-CN"/>
              </w:rPr>
            </w:pPr>
            <w:r>
              <w:rPr>
                <w:rFonts w:hint="eastAsia"/>
                <w:lang w:val="en-US" w:eastAsia="zh-CN"/>
              </w:rPr>
              <w:t>足球场</w:t>
            </w:r>
          </w:p>
        </w:tc>
        <w:tc>
          <w:tcPr>
            <w:tcW w:w="1716" w:type="dxa"/>
            <w:vMerge w:val="restart"/>
            <w:noWrap w:val="0"/>
            <w:vAlign w:val="center"/>
          </w:tcPr>
          <w:p>
            <w:pPr>
              <w:spacing w:line="260" w:lineRule="exact"/>
              <w:ind w:right="200"/>
              <w:jc w:val="center"/>
              <w:rPr>
                <w:rFonts w:hint="default" w:eastAsia="宋体"/>
                <w:lang w:val="en-US" w:eastAsia="zh-CN"/>
              </w:rPr>
            </w:pPr>
            <w:r>
              <w:rPr>
                <w:rFonts w:hint="eastAsia"/>
                <w:lang w:val="en-US" w:eastAsia="zh-CN"/>
              </w:rPr>
              <w:t>体育场地</w:t>
            </w:r>
          </w:p>
        </w:tc>
        <w:tc>
          <w:tcPr>
            <w:tcW w:w="1804" w:type="dxa"/>
            <w:noWrap w:val="0"/>
            <w:vAlign w:val="center"/>
          </w:tcPr>
          <w:p>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2754.42</w:t>
            </w:r>
          </w:p>
        </w:tc>
        <w:tc>
          <w:tcPr>
            <w:tcW w:w="1068" w:type="dxa"/>
            <w:vMerge w:val="restart"/>
            <w:noWrap w:val="0"/>
            <w:vAlign w:val="center"/>
          </w:tcPr>
          <w:p>
            <w:pPr>
              <w:jc w:val="center"/>
              <w:rPr>
                <w:rFonts w:hint="default" w:ascii="宋体" w:hAnsi="宋体" w:eastAsia="宋体" w:cs="宋体"/>
                <w:lang w:val="en-US" w:eastAsia="zh-CN"/>
              </w:rPr>
            </w:pPr>
            <w:r>
              <w:rPr>
                <w:rFonts w:hint="eastAsia" w:ascii="宋体" w:hAnsi="宋体" w:cs="宋体"/>
                <w:lang w:val="en-US" w:eastAsia="zh-CN"/>
              </w:rPr>
              <w:t>25.67</w:t>
            </w:r>
          </w:p>
        </w:tc>
        <w:tc>
          <w:tcPr>
            <w:tcW w:w="1492" w:type="dxa"/>
            <w:vMerge w:val="restart"/>
            <w:noWrap w:val="0"/>
            <w:vAlign w:val="center"/>
          </w:tcPr>
          <w:p>
            <w:pPr>
              <w:jc w:val="center"/>
              <w:rPr>
                <w:rFonts w:hint="default" w:ascii="宋体" w:hAnsi="宋体" w:eastAsia="宋体" w:cs="宋体"/>
                <w:lang w:val="en-US" w:eastAsia="zh-CN"/>
              </w:rPr>
            </w:pPr>
            <w:r>
              <w:rPr>
                <w:rFonts w:hint="eastAsia" w:ascii="宋体" w:hAnsi="宋体" w:cs="宋体"/>
                <w:lang w:val="en-US" w:eastAsia="zh-CN"/>
              </w:rPr>
              <w:t>5</w:t>
            </w:r>
          </w:p>
        </w:tc>
        <w:tc>
          <w:tcPr>
            <w:tcW w:w="1492" w:type="dxa"/>
            <w:vMerge w:val="restart"/>
            <w:noWrap w:val="0"/>
            <w:vAlign w:val="center"/>
          </w:tcPr>
          <w:p>
            <w:pPr>
              <w:widowControl/>
              <w:jc w:val="center"/>
              <w:textAlignment w:val="center"/>
              <w:rPr>
                <w:rFonts w:hint="default" w:ascii="宋体" w:hAnsi="宋体" w:cs="宋体"/>
                <w:kern w:val="0"/>
                <w:szCs w:val="21"/>
                <w:lang w:val="en-US" w:eastAsia="zh-CN" w:bidi="ar"/>
              </w:rPr>
            </w:pPr>
            <w:r>
              <w:rPr>
                <w:rFonts w:hint="eastAsia" w:ascii="宋体" w:hAnsi="宋体" w:cs="宋体"/>
                <w:kern w:val="0"/>
                <w:szCs w:val="21"/>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 w:hRule="atLeast"/>
        </w:trPr>
        <w:tc>
          <w:tcPr>
            <w:tcW w:w="638" w:type="dxa"/>
            <w:vMerge w:val="continue"/>
            <w:noWrap w:val="0"/>
            <w:vAlign w:val="center"/>
          </w:tcPr>
          <w:p>
            <w:pPr>
              <w:spacing w:line="260" w:lineRule="exact"/>
              <w:ind w:right="200"/>
              <w:jc w:val="center"/>
              <w:rPr>
                <w:rFonts w:hint="default" w:ascii="宋体" w:hAnsi="宋体" w:cs="宋体"/>
                <w:szCs w:val="21"/>
                <w:lang w:val="en-US" w:eastAsia="zh-CN"/>
              </w:rPr>
            </w:pPr>
          </w:p>
        </w:tc>
        <w:tc>
          <w:tcPr>
            <w:tcW w:w="1167" w:type="dxa"/>
            <w:noWrap w:val="0"/>
            <w:vAlign w:val="center"/>
          </w:tcPr>
          <w:p>
            <w:pPr>
              <w:spacing w:line="260" w:lineRule="exact"/>
              <w:ind w:right="200"/>
              <w:jc w:val="center"/>
              <w:rPr>
                <w:rFonts w:hint="default" w:eastAsia="宋体"/>
                <w:lang w:val="en-US" w:eastAsia="zh-CN"/>
              </w:rPr>
            </w:pPr>
            <w:r>
              <w:rPr>
                <w:rFonts w:hint="eastAsia"/>
                <w:lang w:val="en-US" w:eastAsia="zh-CN"/>
              </w:rPr>
              <w:t>篮球场</w:t>
            </w:r>
          </w:p>
        </w:tc>
        <w:tc>
          <w:tcPr>
            <w:tcW w:w="1716" w:type="dxa"/>
            <w:vMerge w:val="continue"/>
            <w:noWrap w:val="0"/>
            <w:vAlign w:val="center"/>
          </w:tcPr>
          <w:p>
            <w:pPr>
              <w:spacing w:line="260" w:lineRule="exact"/>
              <w:ind w:right="200"/>
              <w:jc w:val="center"/>
              <w:rPr>
                <w:rFonts w:hint="eastAsia" w:eastAsia="宋体"/>
                <w:lang w:val="en-US" w:eastAsia="zh-CN"/>
              </w:rPr>
            </w:pPr>
          </w:p>
        </w:tc>
        <w:tc>
          <w:tcPr>
            <w:tcW w:w="1804" w:type="dxa"/>
            <w:noWrap w:val="0"/>
            <w:vAlign w:val="center"/>
          </w:tcPr>
          <w:p>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1342</w:t>
            </w:r>
          </w:p>
        </w:tc>
        <w:tc>
          <w:tcPr>
            <w:tcW w:w="1068" w:type="dxa"/>
            <w:vMerge w:val="continue"/>
            <w:noWrap w:val="0"/>
            <w:vAlign w:val="center"/>
          </w:tcPr>
          <w:p>
            <w:pPr>
              <w:jc w:val="center"/>
              <w:rPr>
                <w:rFonts w:hint="default" w:ascii="宋体" w:hAnsi="宋体" w:eastAsia="宋体" w:cs="宋体"/>
                <w:lang w:val="en-US" w:eastAsia="zh-CN"/>
              </w:rPr>
            </w:pPr>
          </w:p>
        </w:tc>
        <w:tc>
          <w:tcPr>
            <w:tcW w:w="1492" w:type="dxa"/>
            <w:vMerge w:val="continue"/>
            <w:noWrap w:val="0"/>
            <w:vAlign w:val="center"/>
          </w:tcPr>
          <w:p>
            <w:pPr>
              <w:jc w:val="center"/>
              <w:rPr>
                <w:rFonts w:hint="default" w:ascii="宋体" w:hAnsi="宋体" w:eastAsia="宋体" w:cs="宋体"/>
                <w:lang w:val="en-US" w:eastAsia="zh-CN"/>
              </w:rPr>
            </w:pPr>
          </w:p>
        </w:tc>
        <w:tc>
          <w:tcPr>
            <w:tcW w:w="1492" w:type="dxa"/>
            <w:vMerge w:val="continue"/>
            <w:noWrap w:val="0"/>
            <w:vAlign w:val="center"/>
          </w:tcPr>
          <w:p>
            <w:pPr>
              <w:widowControl/>
              <w:jc w:val="center"/>
              <w:textAlignment w:val="center"/>
              <w:rPr>
                <w:rFonts w:hint="default" w:ascii="宋体" w:hAnsi="宋体" w:cs="宋体"/>
                <w:kern w:val="0"/>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3" w:hRule="atLeast"/>
        </w:trPr>
        <w:tc>
          <w:tcPr>
            <w:tcW w:w="638" w:type="dxa"/>
            <w:vMerge w:val="continue"/>
            <w:noWrap w:val="0"/>
            <w:vAlign w:val="center"/>
          </w:tcPr>
          <w:p>
            <w:pPr>
              <w:spacing w:line="260" w:lineRule="exact"/>
              <w:ind w:right="200"/>
              <w:jc w:val="center"/>
              <w:rPr>
                <w:rFonts w:hint="default" w:ascii="宋体" w:hAnsi="宋体" w:cs="宋体"/>
                <w:szCs w:val="21"/>
                <w:lang w:val="en-US" w:eastAsia="zh-CN"/>
              </w:rPr>
            </w:pPr>
          </w:p>
        </w:tc>
        <w:tc>
          <w:tcPr>
            <w:tcW w:w="1167" w:type="dxa"/>
            <w:noWrap w:val="0"/>
            <w:vAlign w:val="center"/>
          </w:tcPr>
          <w:p>
            <w:pPr>
              <w:spacing w:line="260" w:lineRule="exact"/>
              <w:ind w:right="200"/>
              <w:jc w:val="center"/>
              <w:rPr>
                <w:rFonts w:hint="default"/>
                <w:lang w:val="en-US"/>
              </w:rPr>
            </w:pPr>
            <w:r>
              <w:rPr>
                <w:rFonts w:hint="eastAsia"/>
                <w:lang w:val="en-US" w:eastAsia="zh-CN"/>
              </w:rPr>
              <w:t>网球场</w:t>
            </w:r>
          </w:p>
        </w:tc>
        <w:tc>
          <w:tcPr>
            <w:tcW w:w="1716" w:type="dxa"/>
            <w:vMerge w:val="continue"/>
            <w:noWrap w:val="0"/>
            <w:vAlign w:val="center"/>
          </w:tcPr>
          <w:p>
            <w:pPr>
              <w:spacing w:line="260" w:lineRule="exact"/>
              <w:ind w:right="200"/>
              <w:jc w:val="center"/>
              <w:rPr>
                <w:rFonts w:hint="eastAsia" w:eastAsia="宋体"/>
                <w:lang w:val="en-US" w:eastAsia="zh-CN"/>
              </w:rPr>
            </w:pPr>
          </w:p>
        </w:tc>
        <w:tc>
          <w:tcPr>
            <w:tcW w:w="1804" w:type="dxa"/>
            <w:noWrap w:val="0"/>
            <w:vAlign w:val="center"/>
          </w:tcPr>
          <w:p>
            <w:pPr>
              <w:spacing w:line="260" w:lineRule="exact"/>
              <w:ind w:right="200"/>
              <w:jc w:val="center"/>
              <w:rPr>
                <w:rFonts w:hint="default" w:ascii="宋体" w:hAnsi="宋体" w:eastAsia="宋体" w:cs="宋体"/>
                <w:lang w:val="en-US" w:eastAsia="zh-CN"/>
              </w:rPr>
            </w:pPr>
            <w:r>
              <w:rPr>
                <w:rFonts w:hint="eastAsia" w:ascii="宋体" w:hAnsi="宋体" w:cs="宋体"/>
                <w:lang w:val="en-US" w:eastAsia="zh-CN"/>
              </w:rPr>
              <w:t>742</w:t>
            </w:r>
          </w:p>
        </w:tc>
        <w:tc>
          <w:tcPr>
            <w:tcW w:w="1068" w:type="dxa"/>
            <w:vMerge w:val="continue"/>
            <w:noWrap w:val="0"/>
            <w:vAlign w:val="center"/>
          </w:tcPr>
          <w:p>
            <w:pPr>
              <w:jc w:val="center"/>
              <w:rPr>
                <w:rFonts w:hint="default" w:ascii="宋体" w:hAnsi="宋体" w:eastAsia="宋体" w:cs="宋体"/>
                <w:lang w:val="en-US" w:eastAsia="zh-CN"/>
              </w:rPr>
            </w:pPr>
          </w:p>
        </w:tc>
        <w:tc>
          <w:tcPr>
            <w:tcW w:w="1492" w:type="dxa"/>
            <w:vMerge w:val="continue"/>
            <w:noWrap w:val="0"/>
            <w:vAlign w:val="center"/>
          </w:tcPr>
          <w:p>
            <w:pPr>
              <w:jc w:val="center"/>
              <w:rPr>
                <w:rFonts w:hint="default" w:ascii="宋体" w:hAnsi="宋体" w:eastAsia="宋体" w:cs="宋体"/>
                <w:lang w:val="en-US" w:eastAsia="zh-CN"/>
              </w:rPr>
            </w:pPr>
          </w:p>
        </w:tc>
        <w:tc>
          <w:tcPr>
            <w:tcW w:w="1492" w:type="dxa"/>
            <w:vMerge w:val="continue"/>
            <w:noWrap w:val="0"/>
            <w:vAlign w:val="center"/>
          </w:tcPr>
          <w:p>
            <w:pPr>
              <w:widowControl/>
              <w:jc w:val="center"/>
              <w:textAlignment w:val="center"/>
              <w:rPr>
                <w:rFonts w:hint="default" w:ascii="宋体" w:hAnsi="宋体" w:cs="宋体"/>
                <w:kern w:val="0"/>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3" w:hRule="atLeast"/>
        </w:trPr>
        <w:tc>
          <w:tcPr>
            <w:tcW w:w="638" w:type="dxa"/>
            <w:vMerge w:val="continue"/>
            <w:noWrap w:val="0"/>
            <w:vAlign w:val="center"/>
          </w:tcPr>
          <w:p>
            <w:pPr>
              <w:spacing w:line="260" w:lineRule="exact"/>
              <w:ind w:right="200"/>
              <w:jc w:val="center"/>
              <w:rPr>
                <w:rFonts w:hint="eastAsia" w:ascii="宋体" w:hAnsi="宋体" w:cs="宋体"/>
                <w:szCs w:val="21"/>
                <w:lang w:val="en-US" w:eastAsia="zh-CN"/>
              </w:rPr>
            </w:pPr>
          </w:p>
        </w:tc>
        <w:tc>
          <w:tcPr>
            <w:tcW w:w="1167" w:type="dxa"/>
            <w:noWrap w:val="0"/>
            <w:vAlign w:val="center"/>
          </w:tcPr>
          <w:p>
            <w:pPr>
              <w:spacing w:line="260" w:lineRule="exact"/>
              <w:ind w:right="200"/>
              <w:jc w:val="center"/>
              <w:rPr>
                <w:rFonts w:hint="default"/>
                <w:lang w:val="en-US" w:eastAsia="zh-CN"/>
              </w:rPr>
            </w:pPr>
            <w:r>
              <w:rPr>
                <w:rFonts w:hint="eastAsia"/>
                <w:lang w:val="en-US" w:eastAsia="zh-CN"/>
              </w:rPr>
              <w:t>极限运动场地</w:t>
            </w:r>
          </w:p>
        </w:tc>
        <w:tc>
          <w:tcPr>
            <w:tcW w:w="1716" w:type="dxa"/>
            <w:vMerge w:val="continue"/>
            <w:noWrap w:val="0"/>
            <w:vAlign w:val="center"/>
          </w:tcPr>
          <w:p>
            <w:pPr>
              <w:spacing w:line="260" w:lineRule="exact"/>
              <w:ind w:right="200"/>
              <w:jc w:val="center"/>
              <w:rPr>
                <w:rFonts w:hint="eastAsia"/>
                <w:lang w:val="en-US" w:eastAsia="zh-CN"/>
              </w:rPr>
            </w:pPr>
          </w:p>
        </w:tc>
        <w:tc>
          <w:tcPr>
            <w:tcW w:w="1804" w:type="dxa"/>
            <w:noWrap w:val="0"/>
            <w:vAlign w:val="center"/>
          </w:tcPr>
          <w:p>
            <w:pPr>
              <w:spacing w:line="260" w:lineRule="exact"/>
              <w:ind w:right="200"/>
              <w:jc w:val="center"/>
              <w:rPr>
                <w:rFonts w:hint="default" w:ascii="宋体" w:hAnsi="宋体" w:cs="宋体"/>
                <w:lang w:val="en-US" w:eastAsia="zh-CN"/>
              </w:rPr>
            </w:pPr>
            <w:r>
              <w:rPr>
                <w:rFonts w:hint="eastAsia" w:ascii="宋体" w:hAnsi="宋体" w:cs="宋体"/>
                <w:lang w:val="en-US" w:eastAsia="zh-CN"/>
              </w:rPr>
              <w:t>3503</w:t>
            </w:r>
          </w:p>
        </w:tc>
        <w:tc>
          <w:tcPr>
            <w:tcW w:w="1068" w:type="dxa"/>
            <w:vMerge w:val="continue"/>
            <w:noWrap w:val="0"/>
            <w:vAlign w:val="center"/>
          </w:tcPr>
          <w:p>
            <w:pPr>
              <w:jc w:val="center"/>
              <w:rPr>
                <w:rFonts w:hint="eastAsia" w:ascii="宋体" w:hAnsi="宋体" w:cs="宋体"/>
                <w:lang w:val="en-US" w:eastAsia="zh-CN"/>
              </w:rPr>
            </w:pPr>
          </w:p>
        </w:tc>
        <w:tc>
          <w:tcPr>
            <w:tcW w:w="1492" w:type="dxa"/>
            <w:vMerge w:val="continue"/>
            <w:noWrap w:val="0"/>
            <w:vAlign w:val="center"/>
          </w:tcPr>
          <w:p>
            <w:pPr>
              <w:jc w:val="center"/>
              <w:rPr>
                <w:rFonts w:hint="eastAsia" w:ascii="宋体" w:hAnsi="宋体" w:cs="宋体"/>
                <w:lang w:val="en-US" w:eastAsia="zh-CN"/>
              </w:rPr>
            </w:pPr>
          </w:p>
        </w:tc>
        <w:tc>
          <w:tcPr>
            <w:tcW w:w="1492" w:type="dxa"/>
            <w:vMerge w:val="continue"/>
            <w:noWrap w:val="0"/>
            <w:vAlign w:val="center"/>
          </w:tcPr>
          <w:p>
            <w:pPr>
              <w:widowControl/>
              <w:jc w:val="center"/>
              <w:textAlignment w:val="center"/>
              <w:rPr>
                <w:rFonts w:hint="eastAsia" w:ascii="宋体" w:hAnsi="宋体" w:cs="宋体"/>
                <w:kern w:val="0"/>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3" w:hRule="atLeast"/>
        </w:trPr>
        <w:tc>
          <w:tcPr>
            <w:tcW w:w="638" w:type="dxa"/>
            <w:vMerge w:val="continue"/>
            <w:noWrap w:val="0"/>
            <w:vAlign w:val="center"/>
          </w:tcPr>
          <w:p>
            <w:pPr>
              <w:spacing w:line="260" w:lineRule="exact"/>
              <w:ind w:right="200"/>
              <w:jc w:val="center"/>
              <w:rPr>
                <w:rFonts w:hint="eastAsia" w:ascii="宋体" w:hAnsi="宋体" w:cs="宋体"/>
                <w:szCs w:val="21"/>
                <w:lang w:val="en-US" w:eastAsia="zh-CN"/>
              </w:rPr>
            </w:pPr>
          </w:p>
        </w:tc>
        <w:tc>
          <w:tcPr>
            <w:tcW w:w="1167" w:type="dxa"/>
            <w:noWrap w:val="0"/>
            <w:vAlign w:val="center"/>
          </w:tcPr>
          <w:p>
            <w:pPr>
              <w:spacing w:line="260" w:lineRule="exact"/>
              <w:ind w:right="200"/>
              <w:jc w:val="center"/>
              <w:rPr>
                <w:rFonts w:hint="default"/>
                <w:lang w:val="en-US" w:eastAsia="zh-CN"/>
              </w:rPr>
            </w:pPr>
            <w:r>
              <w:rPr>
                <w:rFonts w:hint="eastAsia"/>
                <w:lang w:val="en-US" w:eastAsia="zh-CN"/>
              </w:rPr>
              <w:t>配套服务用房1</w:t>
            </w:r>
          </w:p>
        </w:tc>
        <w:tc>
          <w:tcPr>
            <w:tcW w:w="1716" w:type="dxa"/>
            <w:vMerge w:val="continue"/>
            <w:noWrap w:val="0"/>
            <w:vAlign w:val="center"/>
          </w:tcPr>
          <w:p>
            <w:pPr>
              <w:spacing w:line="260" w:lineRule="exact"/>
              <w:ind w:right="200"/>
              <w:jc w:val="center"/>
              <w:rPr>
                <w:rFonts w:hint="eastAsia"/>
                <w:lang w:val="en-US" w:eastAsia="zh-CN"/>
              </w:rPr>
            </w:pPr>
          </w:p>
        </w:tc>
        <w:tc>
          <w:tcPr>
            <w:tcW w:w="1804" w:type="dxa"/>
            <w:noWrap w:val="0"/>
            <w:vAlign w:val="center"/>
          </w:tcPr>
          <w:p>
            <w:pPr>
              <w:spacing w:line="260" w:lineRule="exact"/>
              <w:ind w:right="200"/>
              <w:jc w:val="center"/>
              <w:rPr>
                <w:rFonts w:hint="default" w:ascii="宋体" w:hAnsi="宋体" w:cs="宋体"/>
                <w:lang w:val="en-US" w:eastAsia="zh-CN"/>
              </w:rPr>
            </w:pPr>
            <w:r>
              <w:rPr>
                <w:rFonts w:hint="eastAsia" w:ascii="宋体" w:hAnsi="宋体" w:cs="宋体"/>
                <w:lang w:val="en-US" w:eastAsia="zh-CN"/>
              </w:rPr>
              <w:t>58.57</w:t>
            </w:r>
          </w:p>
        </w:tc>
        <w:tc>
          <w:tcPr>
            <w:tcW w:w="1068" w:type="dxa"/>
            <w:vMerge w:val="continue"/>
            <w:noWrap w:val="0"/>
            <w:vAlign w:val="center"/>
          </w:tcPr>
          <w:p>
            <w:pPr>
              <w:jc w:val="center"/>
              <w:rPr>
                <w:rFonts w:hint="eastAsia" w:ascii="宋体" w:hAnsi="宋体" w:cs="宋体"/>
                <w:lang w:val="en-US" w:eastAsia="zh-CN"/>
              </w:rPr>
            </w:pPr>
          </w:p>
        </w:tc>
        <w:tc>
          <w:tcPr>
            <w:tcW w:w="1492" w:type="dxa"/>
            <w:vMerge w:val="continue"/>
            <w:noWrap w:val="0"/>
            <w:vAlign w:val="center"/>
          </w:tcPr>
          <w:p>
            <w:pPr>
              <w:jc w:val="center"/>
              <w:rPr>
                <w:rFonts w:hint="eastAsia" w:ascii="宋体" w:hAnsi="宋体" w:cs="宋体"/>
                <w:lang w:val="en-US" w:eastAsia="zh-CN"/>
              </w:rPr>
            </w:pPr>
          </w:p>
        </w:tc>
        <w:tc>
          <w:tcPr>
            <w:tcW w:w="1492" w:type="dxa"/>
            <w:vMerge w:val="continue"/>
            <w:noWrap w:val="0"/>
            <w:vAlign w:val="center"/>
          </w:tcPr>
          <w:p>
            <w:pPr>
              <w:widowControl/>
              <w:jc w:val="center"/>
              <w:textAlignment w:val="center"/>
              <w:rPr>
                <w:rFonts w:hint="eastAsia" w:ascii="宋体" w:hAnsi="宋体" w:cs="宋体"/>
                <w:kern w:val="0"/>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3" w:hRule="atLeast"/>
        </w:trPr>
        <w:tc>
          <w:tcPr>
            <w:tcW w:w="638" w:type="dxa"/>
            <w:vMerge w:val="continue"/>
            <w:noWrap w:val="0"/>
            <w:vAlign w:val="center"/>
          </w:tcPr>
          <w:p>
            <w:pPr>
              <w:spacing w:line="260" w:lineRule="exact"/>
              <w:ind w:right="200"/>
              <w:jc w:val="center"/>
              <w:rPr>
                <w:rFonts w:hint="eastAsia" w:ascii="宋体" w:hAnsi="宋体" w:cs="宋体"/>
                <w:szCs w:val="21"/>
                <w:lang w:val="en-US" w:eastAsia="zh-CN"/>
              </w:rPr>
            </w:pPr>
          </w:p>
        </w:tc>
        <w:tc>
          <w:tcPr>
            <w:tcW w:w="1167" w:type="dxa"/>
            <w:noWrap w:val="0"/>
            <w:vAlign w:val="center"/>
          </w:tcPr>
          <w:p>
            <w:pPr>
              <w:spacing w:line="260" w:lineRule="exact"/>
              <w:ind w:right="200"/>
              <w:jc w:val="center"/>
              <w:rPr>
                <w:rFonts w:hint="eastAsia"/>
                <w:lang w:val="en-US" w:eastAsia="zh-CN"/>
              </w:rPr>
            </w:pPr>
            <w:r>
              <w:rPr>
                <w:rFonts w:hint="eastAsia"/>
                <w:lang w:val="en-US" w:eastAsia="zh-CN"/>
              </w:rPr>
              <w:t>配套服务用房2</w:t>
            </w:r>
          </w:p>
        </w:tc>
        <w:tc>
          <w:tcPr>
            <w:tcW w:w="1716" w:type="dxa"/>
            <w:vMerge w:val="continue"/>
            <w:noWrap w:val="0"/>
            <w:vAlign w:val="center"/>
          </w:tcPr>
          <w:p>
            <w:pPr>
              <w:spacing w:line="260" w:lineRule="exact"/>
              <w:ind w:right="200"/>
              <w:jc w:val="center"/>
              <w:rPr>
                <w:rFonts w:hint="eastAsia"/>
                <w:lang w:val="en-US" w:eastAsia="zh-CN"/>
              </w:rPr>
            </w:pPr>
          </w:p>
        </w:tc>
        <w:tc>
          <w:tcPr>
            <w:tcW w:w="1804" w:type="dxa"/>
            <w:noWrap w:val="0"/>
            <w:vAlign w:val="center"/>
          </w:tcPr>
          <w:p>
            <w:pPr>
              <w:spacing w:line="260" w:lineRule="exact"/>
              <w:ind w:right="200"/>
              <w:jc w:val="center"/>
              <w:rPr>
                <w:rFonts w:hint="default" w:ascii="宋体" w:hAnsi="宋体" w:cs="宋体"/>
                <w:lang w:val="en-US" w:eastAsia="zh-CN"/>
              </w:rPr>
            </w:pPr>
            <w:r>
              <w:rPr>
                <w:rFonts w:hint="eastAsia" w:ascii="宋体" w:hAnsi="宋体" w:cs="宋体"/>
                <w:lang w:val="en-US" w:eastAsia="zh-CN"/>
              </w:rPr>
              <w:t>58.57</w:t>
            </w:r>
          </w:p>
        </w:tc>
        <w:tc>
          <w:tcPr>
            <w:tcW w:w="1068" w:type="dxa"/>
            <w:vMerge w:val="continue"/>
            <w:noWrap w:val="0"/>
            <w:vAlign w:val="center"/>
          </w:tcPr>
          <w:p>
            <w:pPr>
              <w:jc w:val="center"/>
              <w:rPr>
                <w:rFonts w:hint="eastAsia" w:ascii="宋体" w:hAnsi="宋体" w:cs="宋体"/>
                <w:lang w:val="en-US" w:eastAsia="zh-CN"/>
              </w:rPr>
            </w:pPr>
          </w:p>
        </w:tc>
        <w:tc>
          <w:tcPr>
            <w:tcW w:w="1492" w:type="dxa"/>
            <w:vMerge w:val="continue"/>
            <w:noWrap w:val="0"/>
            <w:vAlign w:val="center"/>
          </w:tcPr>
          <w:p>
            <w:pPr>
              <w:jc w:val="center"/>
              <w:rPr>
                <w:rFonts w:hint="eastAsia" w:ascii="宋体" w:hAnsi="宋体" w:cs="宋体"/>
                <w:lang w:val="en-US" w:eastAsia="zh-CN"/>
              </w:rPr>
            </w:pPr>
          </w:p>
        </w:tc>
        <w:tc>
          <w:tcPr>
            <w:tcW w:w="1492" w:type="dxa"/>
            <w:vMerge w:val="continue"/>
            <w:noWrap w:val="0"/>
            <w:vAlign w:val="center"/>
          </w:tcPr>
          <w:p>
            <w:pPr>
              <w:widowControl/>
              <w:jc w:val="center"/>
              <w:textAlignment w:val="center"/>
              <w:rPr>
                <w:rFonts w:hint="eastAsia" w:ascii="宋体" w:hAnsi="宋体" w:cs="宋体"/>
                <w:kern w:val="0"/>
                <w:szCs w:val="21"/>
                <w:lang w:val="en-US" w:eastAsia="zh-CN" w:bidi="ar"/>
              </w:rPr>
            </w:pPr>
          </w:p>
        </w:tc>
      </w:tr>
    </w:tbl>
    <w:p>
      <w:pPr>
        <w:spacing w:line="420" w:lineRule="exact"/>
        <w:ind w:firstLine="482" w:firstLineChars="200"/>
        <w:rPr>
          <w:rFonts w:hint="eastAsia" w:ascii="宋体" w:hAnsi="宋体"/>
          <w:b/>
          <w:color w:val="FF0000"/>
          <w:sz w:val="24"/>
          <w:szCs w:val="24"/>
          <w:lang w:eastAsia="zh-CN"/>
        </w:rPr>
      </w:pPr>
      <w:r>
        <w:rPr>
          <w:rFonts w:hint="eastAsia" w:ascii="宋体" w:hAnsi="宋体"/>
          <w:b/>
          <w:color w:val="FF0000"/>
          <w:sz w:val="24"/>
          <w:szCs w:val="24"/>
          <w:lang w:eastAsia="zh-CN"/>
        </w:rPr>
        <w:t>特别注意：</w:t>
      </w:r>
    </w:p>
    <w:p>
      <w:pPr>
        <w:numPr>
          <w:ilvl w:val="0"/>
          <w:numId w:val="1"/>
        </w:numPr>
        <w:spacing w:line="420" w:lineRule="exact"/>
        <w:ind w:firstLine="482" w:firstLineChars="200"/>
        <w:rPr>
          <w:rFonts w:hint="eastAsia" w:ascii="宋体" w:hAnsi="宋体" w:cs="宋体"/>
          <w:b/>
          <w:bCs w:val="0"/>
          <w:color w:val="auto"/>
          <w:sz w:val="24"/>
          <w:szCs w:val="24"/>
          <w:lang w:eastAsia="zh-CN"/>
        </w:rPr>
      </w:pPr>
      <w:r>
        <w:rPr>
          <w:rFonts w:hint="eastAsia" w:ascii="宋体" w:hAnsi="宋体"/>
          <w:b/>
          <w:bCs w:val="0"/>
          <w:color w:val="auto"/>
          <w:sz w:val="24"/>
          <w:szCs w:val="24"/>
          <w:lang w:val="en-US" w:eastAsia="zh-CN"/>
        </w:rPr>
        <w:t>标的日常运营中的</w:t>
      </w:r>
      <w:r>
        <w:rPr>
          <w:rFonts w:hint="eastAsia" w:ascii="宋体" w:hAnsi="宋体" w:eastAsia="宋体" w:cs="宋体"/>
          <w:b/>
          <w:bCs w:val="0"/>
          <w:color w:val="auto"/>
          <w:sz w:val="24"/>
          <w:szCs w:val="24"/>
        </w:rPr>
        <w:t>水、电、通讯、物业管理费</w:t>
      </w:r>
      <w:r>
        <w:rPr>
          <w:rFonts w:hint="eastAsia" w:ascii="宋体" w:hAnsi="宋体" w:cs="宋体"/>
          <w:b/>
          <w:bCs w:val="0"/>
          <w:color w:val="auto"/>
          <w:sz w:val="24"/>
          <w:szCs w:val="24"/>
          <w:lang w:eastAsia="zh-CN"/>
        </w:rPr>
        <w:t>、</w:t>
      </w:r>
      <w:r>
        <w:rPr>
          <w:rFonts w:hint="eastAsia" w:ascii="宋体" w:hAnsi="宋体" w:eastAsia="宋体" w:cs="宋体"/>
          <w:b/>
          <w:bCs w:val="0"/>
          <w:color w:val="auto"/>
          <w:sz w:val="24"/>
          <w:szCs w:val="24"/>
        </w:rPr>
        <w:t>公众管理责任等一切经营费用以及出租使用期间的日常维修、维护、保养</w:t>
      </w:r>
      <w:r>
        <w:rPr>
          <w:rFonts w:hint="eastAsia" w:ascii="宋体" w:hAnsi="宋体" w:eastAsia="宋体" w:cs="宋体"/>
          <w:b/>
          <w:bCs w:val="0"/>
          <w:color w:val="auto"/>
          <w:sz w:val="24"/>
          <w:szCs w:val="24"/>
          <w:lang w:eastAsia="zh-CN"/>
        </w:rPr>
        <w:t>、扩容</w:t>
      </w:r>
      <w:r>
        <w:rPr>
          <w:rFonts w:hint="eastAsia" w:ascii="宋体" w:hAnsi="宋体" w:eastAsia="宋体" w:cs="宋体"/>
          <w:b/>
          <w:bCs w:val="0"/>
          <w:color w:val="auto"/>
          <w:sz w:val="24"/>
          <w:szCs w:val="24"/>
        </w:rPr>
        <w:t>等一切费用,均由</w:t>
      </w:r>
      <w:r>
        <w:rPr>
          <w:rFonts w:hint="eastAsia" w:ascii="宋体" w:hAnsi="宋体" w:eastAsia="宋体" w:cs="宋体"/>
          <w:b/>
          <w:bCs w:val="0"/>
          <w:color w:val="auto"/>
          <w:sz w:val="24"/>
          <w:szCs w:val="24"/>
          <w:lang w:eastAsia="zh-CN"/>
        </w:rPr>
        <w:t>买受人（承租人）</w:t>
      </w:r>
      <w:r>
        <w:rPr>
          <w:rFonts w:hint="eastAsia" w:ascii="宋体" w:hAnsi="宋体" w:eastAsia="宋体" w:cs="宋体"/>
          <w:b/>
          <w:bCs w:val="0"/>
          <w:color w:val="auto"/>
          <w:sz w:val="24"/>
          <w:szCs w:val="24"/>
        </w:rPr>
        <w:t>承担并自行结算</w:t>
      </w:r>
      <w:r>
        <w:rPr>
          <w:rFonts w:hint="eastAsia" w:ascii="宋体" w:hAnsi="宋体" w:cs="宋体"/>
          <w:b/>
          <w:bCs w:val="0"/>
          <w:color w:val="auto"/>
          <w:sz w:val="24"/>
          <w:szCs w:val="24"/>
          <w:lang w:eastAsia="zh-CN"/>
        </w:rPr>
        <w:t>。</w:t>
      </w:r>
    </w:p>
    <w:p>
      <w:pPr>
        <w:numPr>
          <w:ilvl w:val="0"/>
          <w:numId w:val="1"/>
        </w:numPr>
        <w:spacing w:line="420" w:lineRule="exact"/>
        <w:ind w:firstLine="482" w:firstLineChars="200"/>
        <w:rPr>
          <w:rFonts w:hint="eastAsia" w:ascii="宋体" w:hAnsi="宋体" w:cs="宋体"/>
          <w:b/>
          <w:bCs w:val="0"/>
          <w:color w:val="auto"/>
          <w:sz w:val="24"/>
          <w:szCs w:val="24"/>
          <w:lang w:val="en-US" w:eastAsia="zh-CN"/>
        </w:rPr>
      </w:pPr>
      <w:r>
        <w:rPr>
          <w:rFonts w:hint="eastAsia" w:ascii="宋体" w:hAnsi="宋体" w:cs="宋体"/>
          <w:b/>
          <w:bCs w:val="0"/>
          <w:color w:val="auto"/>
          <w:sz w:val="24"/>
          <w:szCs w:val="24"/>
          <w:lang w:val="en-US" w:eastAsia="zh-CN"/>
        </w:rPr>
        <w:t>街道如需举办公益性活动，</w:t>
      </w:r>
      <w:r>
        <w:rPr>
          <w:rFonts w:hint="eastAsia" w:ascii="宋体" w:hAnsi="宋体" w:eastAsia="宋体" w:cs="宋体"/>
          <w:b/>
          <w:bCs w:val="0"/>
          <w:color w:val="auto"/>
          <w:sz w:val="24"/>
          <w:szCs w:val="24"/>
          <w:lang w:eastAsia="zh-CN"/>
        </w:rPr>
        <w:t>买受人（承租人）</w:t>
      </w:r>
      <w:r>
        <w:rPr>
          <w:rFonts w:hint="eastAsia" w:ascii="宋体" w:hAnsi="宋体" w:cs="宋体"/>
          <w:b/>
          <w:bCs w:val="0"/>
          <w:color w:val="auto"/>
          <w:sz w:val="24"/>
          <w:szCs w:val="24"/>
          <w:lang w:val="en-US" w:eastAsia="zh-CN"/>
        </w:rPr>
        <w:t>需协助配合，全年无偿使用不少于20次。</w:t>
      </w:r>
    </w:p>
    <w:p>
      <w:pPr>
        <w:numPr>
          <w:ilvl w:val="0"/>
          <w:numId w:val="1"/>
        </w:numPr>
        <w:spacing w:line="420" w:lineRule="exact"/>
        <w:ind w:firstLine="482" w:firstLineChars="200"/>
        <w:rPr>
          <w:rFonts w:hint="eastAsia" w:ascii="宋体" w:hAnsi="宋体" w:eastAsia="宋体" w:cs="宋体"/>
          <w:b/>
          <w:bCs/>
          <w:color w:val="auto"/>
          <w:kern w:val="0"/>
          <w:sz w:val="24"/>
          <w:szCs w:val="24"/>
          <w:lang w:val="en-US" w:eastAsia="zh-CN"/>
        </w:rPr>
      </w:pPr>
      <w:r>
        <w:rPr>
          <w:rFonts w:hint="eastAsia" w:ascii="宋体" w:hAnsi="宋体" w:eastAsia="宋体" w:cs="宋体"/>
          <w:b/>
          <w:bCs w:val="0"/>
          <w:color w:val="auto"/>
          <w:sz w:val="24"/>
          <w:szCs w:val="24"/>
          <w:lang w:eastAsia="zh-CN"/>
        </w:rPr>
        <w:t>买受人（承租人）</w:t>
      </w:r>
      <w:r>
        <w:rPr>
          <w:rFonts w:hint="eastAsia" w:ascii="宋体" w:hAnsi="宋体" w:eastAsia="宋体" w:cs="宋体"/>
          <w:b/>
          <w:bCs/>
          <w:color w:val="auto"/>
          <w:kern w:val="0"/>
          <w:sz w:val="24"/>
          <w:szCs w:val="24"/>
          <w:lang w:eastAsia="zh-CN"/>
        </w:rPr>
        <w:t>负责</w:t>
      </w:r>
      <w:r>
        <w:rPr>
          <w:rFonts w:hint="eastAsia" w:ascii="宋体" w:hAnsi="宋体" w:eastAsia="宋体" w:cs="宋体"/>
          <w:b/>
          <w:bCs/>
          <w:color w:val="auto"/>
          <w:kern w:val="0"/>
          <w:sz w:val="24"/>
          <w:szCs w:val="24"/>
          <w:lang w:val="en-US" w:eastAsia="zh-CN"/>
        </w:rPr>
        <w:t>西大河公园</w:t>
      </w:r>
      <w:r>
        <w:rPr>
          <w:rFonts w:hint="eastAsia" w:ascii="宋体" w:hAnsi="宋体" w:eastAsia="宋体" w:cs="宋体"/>
          <w:b/>
          <w:bCs/>
          <w:color w:val="auto"/>
          <w:kern w:val="0"/>
          <w:sz w:val="24"/>
          <w:szCs w:val="24"/>
          <w:lang w:eastAsia="zh-CN"/>
        </w:rPr>
        <w:t>体育场</w:t>
      </w:r>
      <w:r>
        <w:rPr>
          <w:rFonts w:hint="eastAsia" w:ascii="宋体" w:hAnsi="宋体" w:cs="宋体"/>
          <w:b/>
          <w:bCs/>
          <w:color w:val="auto"/>
          <w:kern w:val="0"/>
          <w:sz w:val="24"/>
          <w:szCs w:val="24"/>
          <w:lang w:val="en-US" w:eastAsia="zh-CN"/>
        </w:rPr>
        <w:t>及周边</w:t>
      </w:r>
      <w:r>
        <w:rPr>
          <w:rFonts w:hint="eastAsia" w:ascii="宋体" w:hAnsi="宋体" w:eastAsia="宋体" w:cs="宋体"/>
          <w:b/>
          <w:bCs/>
          <w:color w:val="auto"/>
          <w:kern w:val="0"/>
          <w:sz w:val="24"/>
          <w:szCs w:val="24"/>
          <w:lang w:eastAsia="zh-CN"/>
        </w:rPr>
        <w:t>区域内公共秩序维护、设备设施管理、卫生保洁及甲方交办的其他物业服务项目（</w:t>
      </w:r>
      <w:r>
        <w:rPr>
          <w:rFonts w:hint="eastAsia" w:ascii="宋体" w:hAnsi="宋体" w:eastAsia="宋体" w:cs="宋体"/>
          <w:b/>
          <w:bCs/>
          <w:color w:val="auto"/>
          <w:kern w:val="0"/>
          <w:sz w:val="24"/>
          <w:szCs w:val="24"/>
          <w:lang w:val="en-US" w:eastAsia="zh-CN"/>
        </w:rPr>
        <w:t>1、</w:t>
      </w:r>
      <w:r>
        <w:rPr>
          <w:rFonts w:hint="eastAsia" w:ascii="宋体" w:hAnsi="宋体" w:eastAsia="宋体" w:cs="宋体"/>
          <w:b/>
          <w:bCs/>
          <w:color w:val="auto"/>
          <w:kern w:val="0"/>
          <w:sz w:val="24"/>
          <w:szCs w:val="24"/>
          <w:lang w:eastAsia="zh-CN"/>
        </w:rPr>
        <w:t>足球场：7566.3平方米；</w:t>
      </w:r>
      <w:r>
        <w:rPr>
          <w:rFonts w:hint="eastAsia" w:ascii="宋体" w:hAnsi="宋体" w:eastAsia="宋体" w:cs="宋体"/>
          <w:b/>
          <w:bCs/>
          <w:color w:val="auto"/>
          <w:kern w:val="0"/>
          <w:sz w:val="24"/>
          <w:szCs w:val="24"/>
          <w:lang w:val="en-US" w:eastAsia="zh-CN"/>
        </w:rPr>
        <w:t>2、</w:t>
      </w:r>
      <w:r>
        <w:rPr>
          <w:rFonts w:hint="eastAsia" w:ascii="宋体" w:hAnsi="宋体" w:eastAsia="宋体" w:cs="宋体"/>
          <w:b/>
          <w:bCs/>
          <w:color w:val="auto"/>
          <w:kern w:val="0"/>
          <w:sz w:val="24"/>
          <w:szCs w:val="24"/>
          <w:lang w:eastAsia="zh-CN"/>
        </w:rPr>
        <w:t>篮球场面积：</w:t>
      </w:r>
      <w:r>
        <w:rPr>
          <w:rFonts w:hint="eastAsia" w:ascii="宋体" w:hAnsi="宋体" w:cs="宋体"/>
          <w:b/>
          <w:bCs/>
          <w:color w:val="auto"/>
          <w:kern w:val="0"/>
          <w:sz w:val="24"/>
          <w:szCs w:val="24"/>
          <w:lang w:val="en-US" w:eastAsia="zh-CN"/>
        </w:rPr>
        <w:t>1342</w:t>
      </w:r>
      <w:r>
        <w:rPr>
          <w:rFonts w:hint="eastAsia" w:ascii="宋体" w:hAnsi="宋体" w:eastAsia="宋体" w:cs="宋体"/>
          <w:b/>
          <w:bCs/>
          <w:color w:val="auto"/>
          <w:kern w:val="0"/>
          <w:sz w:val="24"/>
          <w:szCs w:val="24"/>
          <w:lang w:eastAsia="zh-CN"/>
        </w:rPr>
        <w:t>平方米</w:t>
      </w:r>
      <w:r>
        <w:rPr>
          <w:rFonts w:hint="eastAsia" w:ascii="宋体" w:hAnsi="宋体" w:eastAsia="宋体" w:cs="宋体"/>
          <w:b/>
          <w:bCs/>
          <w:color w:val="auto"/>
          <w:kern w:val="0"/>
          <w:sz w:val="24"/>
          <w:szCs w:val="24"/>
          <w:lang w:val="en-US" w:eastAsia="zh-CN"/>
        </w:rPr>
        <w:t>3、</w:t>
      </w:r>
      <w:r>
        <w:rPr>
          <w:rFonts w:hint="eastAsia" w:ascii="宋体" w:hAnsi="宋体" w:eastAsia="宋体" w:cs="宋体"/>
          <w:b/>
          <w:bCs/>
          <w:color w:val="auto"/>
          <w:kern w:val="0"/>
          <w:sz w:val="24"/>
          <w:szCs w:val="24"/>
          <w:lang w:eastAsia="zh-CN"/>
        </w:rPr>
        <w:t>门球场面积：637.9平方米</w:t>
      </w:r>
      <w:r>
        <w:rPr>
          <w:rFonts w:hint="eastAsia" w:ascii="宋体" w:hAnsi="宋体" w:eastAsia="宋体" w:cs="宋体"/>
          <w:b/>
          <w:bCs/>
          <w:color w:val="auto"/>
          <w:kern w:val="0"/>
          <w:sz w:val="24"/>
          <w:szCs w:val="24"/>
          <w:lang w:val="en-US" w:eastAsia="zh-CN"/>
        </w:rPr>
        <w:t>4、</w:t>
      </w:r>
      <w:r>
        <w:rPr>
          <w:rFonts w:hint="eastAsia" w:ascii="宋体" w:hAnsi="宋体" w:eastAsia="宋体" w:cs="宋体"/>
          <w:b/>
          <w:bCs/>
          <w:color w:val="auto"/>
          <w:kern w:val="0"/>
          <w:sz w:val="24"/>
          <w:szCs w:val="24"/>
          <w:lang w:eastAsia="zh-CN"/>
        </w:rPr>
        <w:t>网球场面积：</w:t>
      </w:r>
      <w:r>
        <w:rPr>
          <w:rFonts w:hint="eastAsia" w:ascii="宋体" w:hAnsi="宋体" w:cs="宋体"/>
          <w:b/>
          <w:bCs/>
          <w:color w:val="auto"/>
          <w:kern w:val="0"/>
          <w:sz w:val="24"/>
          <w:szCs w:val="24"/>
          <w:lang w:val="en-US" w:eastAsia="zh-CN"/>
        </w:rPr>
        <w:t>742</w:t>
      </w:r>
      <w:r>
        <w:rPr>
          <w:rFonts w:hint="eastAsia" w:ascii="宋体" w:hAnsi="宋体" w:eastAsia="宋体" w:cs="宋体"/>
          <w:b/>
          <w:bCs/>
          <w:color w:val="auto"/>
          <w:kern w:val="0"/>
          <w:sz w:val="24"/>
          <w:szCs w:val="24"/>
          <w:lang w:eastAsia="zh-CN"/>
        </w:rPr>
        <w:t>平方米；</w:t>
      </w:r>
      <w:r>
        <w:rPr>
          <w:rFonts w:hint="eastAsia" w:ascii="宋体" w:hAnsi="宋体" w:eastAsia="宋体" w:cs="宋体"/>
          <w:b/>
          <w:bCs/>
          <w:color w:val="auto"/>
          <w:kern w:val="0"/>
          <w:sz w:val="24"/>
          <w:szCs w:val="24"/>
          <w:lang w:val="en-US" w:eastAsia="zh-CN"/>
        </w:rPr>
        <w:t>5、</w:t>
      </w:r>
      <w:r>
        <w:rPr>
          <w:rFonts w:hint="eastAsia" w:ascii="宋体" w:hAnsi="宋体" w:eastAsia="宋体" w:cs="宋体"/>
          <w:b/>
          <w:bCs/>
          <w:color w:val="auto"/>
          <w:kern w:val="0"/>
          <w:sz w:val="24"/>
          <w:szCs w:val="24"/>
          <w:lang w:eastAsia="zh-CN"/>
        </w:rPr>
        <w:t>极限运动场地面积：3601.5平方米；</w:t>
      </w:r>
      <w:r>
        <w:rPr>
          <w:rFonts w:hint="eastAsia" w:ascii="宋体" w:hAnsi="宋体" w:eastAsia="宋体" w:cs="宋体"/>
          <w:b/>
          <w:bCs/>
          <w:color w:val="auto"/>
          <w:kern w:val="0"/>
          <w:sz w:val="24"/>
          <w:szCs w:val="24"/>
          <w:lang w:val="en-US" w:eastAsia="zh-CN"/>
        </w:rPr>
        <w:t>6、</w:t>
      </w:r>
      <w:r>
        <w:rPr>
          <w:rFonts w:hint="eastAsia" w:ascii="宋体" w:hAnsi="宋体" w:eastAsia="宋体" w:cs="宋体"/>
          <w:b/>
          <w:bCs/>
          <w:color w:val="auto"/>
          <w:kern w:val="0"/>
          <w:sz w:val="24"/>
          <w:szCs w:val="24"/>
          <w:lang w:eastAsia="zh-CN"/>
        </w:rPr>
        <w:t>乒乓球场地面积：262.7平方米。）。卫生检查不达标或由于管理不力对市民群众的身心造成较大影响而引起举报、新闻曝光等情况，受买人须无条件整改；若一年内类似情况发生3次及以上的委托人（出租人）有权单方面解除合同。具体考核规则以委托人（出租人）出具的（租赁合同）条款为准。</w:t>
      </w:r>
    </w:p>
    <w:p>
      <w:pPr>
        <w:numPr>
          <w:ilvl w:val="0"/>
          <w:numId w:val="1"/>
        </w:numPr>
        <w:spacing w:line="420" w:lineRule="exact"/>
        <w:ind w:firstLine="482" w:firstLineChars="200"/>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eastAsia="zh-CN"/>
        </w:rPr>
        <w:t>标的不得以任何形式的转租、分租。</w:t>
      </w:r>
    </w:p>
    <w:p>
      <w:pPr>
        <w:numPr>
          <w:ilvl w:val="0"/>
          <w:numId w:val="1"/>
        </w:numPr>
        <w:spacing w:line="420" w:lineRule="exact"/>
        <w:ind w:firstLine="482" w:firstLineChars="200"/>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eastAsia="zh-CN"/>
        </w:rPr>
        <w:t>对公众给予的免费开放时间需根据街道及主管部门要求。</w:t>
      </w:r>
    </w:p>
    <w:p>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ascii="宋体" w:hAnsi="宋体" w:eastAsia="宋体" w:cs="宋体"/>
          <w:bCs/>
          <w:color w:val="auto"/>
          <w:sz w:val="24"/>
          <w:lang w:eastAsia="zh-CN"/>
        </w:rPr>
      </w:pPr>
      <w:r>
        <w:rPr>
          <w:rFonts w:hint="eastAsia" w:cs="宋体"/>
          <w:bCs/>
          <w:color w:val="auto"/>
          <w:sz w:val="24"/>
          <w:lang w:val="en-US" w:eastAsia="zh-CN"/>
        </w:rPr>
        <w:t>1、</w:t>
      </w:r>
      <w:r>
        <w:rPr>
          <w:rFonts w:hint="eastAsia" w:ascii="宋体" w:hAnsi="宋体" w:eastAsia="宋体" w:cs="宋体"/>
          <w:bCs/>
          <w:color w:val="auto"/>
          <w:sz w:val="24"/>
          <w:lang w:eastAsia="zh-CN"/>
        </w:rPr>
        <w:t>有相关体育行业场馆运营经验的企业。（</w:t>
      </w:r>
      <w:r>
        <w:rPr>
          <w:rFonts w:hint="eastAsia" w:ascii="宋体" w:hAnsi="宋体" w:eastAsia="宋体" w:cs="宋体"/>
          <w:bCs/>
          <w:color w:val="auto"/>
          <w:sz w:val="24"/>
          <w:lang w:val="en-US" w:eastAsia="zh-CN"/>
        </w:rPr>
        <w:t>须提供运营体育行业的相关证明材料</w:t>
      </w:r>
      <w:r>
        <w:rPr>
          <w:rFonts w:hint="eastAsia" w:ascii="宋体" w:hAnsi="宋体" w:eastAsia="宋体" w:cs="宋体"/>
          <w:bCs/>
          <w:color w:val="auto"/>
          <w:sz w:val="24"/>
          <w:lang w:eastAsia="zh-CN"/>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8</w:t>
      </w:r>
      <w:r>
        <w:rPr>
          <w:rFonts w:hint="eastAsia" w:ascii="宋体" w:hAnsi="宋体" w:eastAsia="宋体" w:cs="宋体"/>
          <w:color w:val="auto"/>
          <w:sz w:val="24"/>
        </w:rPr>
        <w:t>月</w:t>
      </w:r>
      <w:r>
        <w:rPr>
          <w:rFonts w:hint="eastAsia" w:ascii="宋体" w:hAnsi="宋体" w:cs="宋体"/>
          <w:color w:val="auto"/>
          <w:sz w:val="24"/>
          <w:lang w:val="en-US" w:eastAsia="zh-CN"/>
        </w:rPr>
        <w:t>4</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cs="宋体"/>
          <w:color w:val="auto"/>
          <w:szCs w:val="24"/>
          <w:lang w:val="en-US" w:eastAsia="zh-CN"/>
        </w:rPr>
        <w:t>2</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pPr>
        <w:pStyle w:val="4"/>
        <w:spacing w:line="500" w:lineRule="exact"/>
        <w:ind w:left="0" w:leftChars="0" w:right="69" w:rightChars="33" w:firstLine="482"/>
        <w:rPr>
          <w:rFonts w:hint="eastAsia" w:ascii="宋体" w:hAnsi="宋体" w:eastAsia="宋体" w:cs="宋体"/>
          <w:color w:val="auto"/>
          <w:spacing w:val="-4"/>
          <w:sz w:val="24"/>
          <w:szCs w:val="24"/>
          <w:u w:val="single"/>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5日内签订</w:t>
      </w:r>
      <w:r>
        <w:rPr>
          <w:rFonts w:hint="eastAsia" w:ascii="宋体" w:hAnsi="宋体" w:eastAsia="宋体" w:cs="宋体"/>
          <w:color w:val="auto"/>
          <w:spacing w:val="-4"/>
          <w:sz w:val="24"/>
          <w:szCs w:val="24"/>
          <w:u w:val="single"/>
          <w:lang w:eastAsia="zh-CN"/>
        </w:rPr>
        <w:t>《租赁合同》</w:t>
      </w:r>
      <w:r>
        <w:rPr>
          <w:rFonts w:hint="eastAsia" w:ascii="宋体" w:hAnsi="宋体" w:cs="宋体"/>
          <w:color w:val="auto"/>
          <w:spacing w:val="-4"/>
          <w:sz w:val="24"/>
          <w:szCs w:val="24"/>
          <w:u w:val="single"/>
          <w:lang w:eastAsia="zh-CN"/>
        </w:rPr>
        <w:t>，</w:t>
      </w:r>
      <w:r>
        <w:rPr>
          <w:rFonts w:hint="eastAsia" w:ascii="宋体" w:hAnsi="宋体" w:cs="宋体"/>
          <w:color w:val="auto"/>
          <w:spacing w:val="-4"/>
          <w:sz w:val="24"/>
          <w:szCs w:val="24"/>
          <w:u w:val="single"/>
          <w:lang w:val="en-US" w:eastAsia="zh-CN"/>
        </w:rPr>
        <w:t>并于15日内</w:t>
      </w:r>
      <w:r>
        <w:rPr>
          <w:rFonts w:hint="eastAsia" w:ascii="宋体" w:hAnsi="宋体" w:eastAsia="宋体" w:cs="宋体"/>
          <w:color w:val="auto"/>
          <w:spacing w:val="-4"/>
          <w:sz w:val="24"/>
          <w:szCs w:val="24"/>
          <w:u w:val="single"/>
        </w:rPr>
        <w:t>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spacing w:val="-4"/>
          <w:sz w:val="24"/>
          <w:szCs w:val="24"/>
          <w:u w:val="single"/>
          <w:lang w:val="en-US" w:eastAsia="zh-CN"/>
        </w:rPr>
        <w:t>成交年租金</w:t>
      </w:r>
      <w:r>
        <w:rPr>
          <w:rFonts w:hint="eastAsia" w:ascii="宋体" w:hAnsi="宋体" w:cs="宋体"/>
          <w:b/>
          <w:bCs/>
          <w:color w:val="auto"/>
          <w:kern w:val="0"/>
          <w:sz w:val="24"/>
          <w:szCs w:val="24"/>
          <w:u w:val="single"/>
          <w:lang w:val="en-US" w:eastAsia="zh-CN"/>
        </w:rPr>
        <w:t>3个月租金</w:t>
      </w:r>
      <w:r>
        <w:rPr>
          <w:rFonts w:hint="eastAsia" w:ascii="宋体" w:hAnsi="宋体" w:eastAsia="宋体" w:cs="宋体"/>
          <w:b/>
          <w:bCs/>
          <w:color w:val="auto"/>
          <w:kern w:val="0"/>
          <w:sz w:val="24"/>
          <w:szCs w:val="24"/>
          <w:u w:val="single"/>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w:t>
      </w:r>
      <w:r>
        <w:rPr>
          <w:rFonts w:hint="eastAsia" w:ascii="宋体" w:hAnsi="宋体" w:eastAsia="宋体" w:cs="宋体"/>
          <w:color w:val="auto"/>
          <w:spacing w:val="-4"/>
          <w:sz w:val="24"/>
          <w:szCs w:val="24"/>
          <w:u w:val="single"/>
          <w:lang w:eastAsia="zh-CN"/>
        </w:rPr>
        <w:t>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rPr>
        <w:t>宁波市镇海区骆驼房地产开发有限公司</w:t>
      </w:r>
      <w:r>
        <w:rPr>
          <w:rFonts w:hint="eastAsia" w:ascii="宋体" w:hAnsi="宋体" w:eastAsia="宋体" w:cs="宋体"/>
          <w:color w:val="auto"/>
          <w:spacing w:val="-4"/>
          <w:sz w:val="24"/>
          <w:szCs w:val="24"/>
          <w:u w:val="single"/>
          <w:lang w:eastAsia="zh-CN"/>
        </w:rPr>
        <w:t>，开户行：</w:t>
      </w:r>
      <w:r>
        <w:rPr>
          <w:rFonts w:hint="eastAsia" w:ascii="宋体" w:hAnsi="宋体" w:eastAsia="宋体" w:cs="宋体"/>
          <w:color w:val="auto"/>
          <w:spacing w:val="-4"/>
          <w:sz w:val="24"/>
          <w:szCs w:val="24"/>
          <w:u w:val="single"/>
        </w:rPr>
        <w:t>中国建设银行宁波骆驼支行</w:t>
      </w:r>
      <w:r>
        <w:rPr>
          <w:rFonts w:hint="eastAsia" w:ascii="宋体" w:hAnsi="宋体" w:eastAsia="宋体" w:cs="宋体"/>
          <w:color w:val="auto"/>
          <w:spacing w:val="-4"/>
          <w:sz w:val="24"/>
          <w:szCs w:val="24"/>
          <w:u w:val="single"/>
          <w:lang w:eastAsia="zh-CN"/>
        </w:rPr>
        <w:t>，账号：</w:t>
      </w:r>
      <w:r>
        <w:rPr>
          <w:rFonts w:hint="eastAsia" w:ascii="宋体" w:hAnsi="宋体" w:eastAsia="宋体" w:cs="宋体"/>
          <w:color w:val="auto"/>
          <w:spacing w:val="-4"/>
          <w:sz w:val="24"/>
          <w:szCs w:val="24"/>
          <w:u w:val="single"/>
        </w:rPr>
        <w:t>33101984040050166384</w:t>
      </w:r>
      <w:r>
        <w:rPr>
          <w:rFonts w:hint="eastAsia" w:ascii="宋体" w:hAnsi="宋体" w:eastAsia="宋体" w:cs="宋体"/>
          <w:color w:val="auto"/>
          <w:spacing w:val="-4"/>
          <w:sz w:val="24"/>
          <w:szCs w:val="24"/>
          <w:u w:val="single"/>
          <w:lang w:eastAsia="zh-CN"/>
        </w:rPr>
        <w:t>；</w:t>
      </w:r>
    </w:p>
    <w:p>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color w:val="auto"/>
          <w:kern w:val="0"/>
          <w:sz w:val="24"/>
          <w:szCs w:val="24"/>
          <w:lang w:val="en-US" w:eastAsia="zh-CN"/>
        </w:rPr>
      </w:pPr>
      <w:r>
        <w:rPr>
          <w:rFonts w:hint="eastAsia" w:ascii="宋体" w:hAnsi="宋体" w:cs="宋体"/>
          <w:color w:val="auto"/>
          <w:kern w:val="0"/>
          <w:sz w:val="24"/>
          <w:szCs w:val="24"/>
          <w:lang w:val="en-US" w:eastAsia="zh-CN"/>
        </w:rPr>
        <w:t>4、</w:t>
      </w:r>
      <w:r>
        <w:rPr>
          <w:rFonts w:hint="eastAsia" w:ascii="宋体" w:hAnsi="宋体" w:cs="宋体"/>
          <w:b/>
          <w:bCs/>
          <w:color w:val="auto"/>
          <w:kern w:val="0"/>
          <w:sz w:val="24"/>
          <w:szCs w:val="24"/>
          <w:lang w:val="en-US" w:eastAsia="zh-CN"/>
        </w:rPr>
        <w:t>标的移交后</w:t>
      </w:r>
      <w:r>
        <w:rPr>
          <w:rFonts w:hint="eastAsia" w:ascii="宋体" w:hAnsi="宋体" w:eastAsia="宋体" w:cs="宋体"/>
          <w:b/>
          <w:bCs/>
          <w:color w:val="auto"/>
          <w:sz w:val="24"/>
          <w:szCs w:val="24"/>
          <w:lang w:eastAsia="zh-CN"/>
        </w:rPr>
        <w:t>买受人（承租人）</w:t>
      </w:r>
      <w:r>
        <w:rPr>
          <w:rFonts w:hint="eastAsia" w:ascii="宋体" w:hAnsi="宋体" w:cs="宋体"/>
          <w:b/>
          <w:bCs/>
          <w:color w:val="auto"/>
          <w:kern w:val="0"/>
          <w:sz w:val="24"/>
          <w:szCs w:val="24"/>
          <w:lang w:val="en-US" w:eastAsia="zh-CN"/>
        </w:rPr>
        <w:t>负责管理</w:t>
      </w:r>
      <w:r>
        <w:rPr>
          <w:rFonts w:hint="eastAsia" w:ascii="宋体" w:hAnsi="宋体" w:eastAsia="宋体" w:cs="宋体"/>
          <w:b/>
          <w:bCs/>
          <w:color w:val="auto"/>
          <w:kern w:val="0"/>
          <w:sz w:val="24"/>
          <w:szCs w:val="24"/>
          <w:lang w:val="en-US" w:eastAsia="zh-CN"/>
        </w:rPr>
        <w:t>西大河公园</w:t>
      </w:r>
      <w:r>
        <w:rPr>
          <w:rFonts w:hint="eastAsia" w:ascii="宋体" w:hAnsi="宋体" w:eastAsia="宋体" w:cs="宋体"/>
          <w:b/>
          <w:bCs/>
          <w:color w:val="auto"/>
          <w:kern w:val="0"/>
          <w:sz w:val="24"/>
          <w:szCs w:val="24"/>
          <w:lang w:eastAsia="zh-CN"/>
        </w:rPr>
        <w:t>体育场</w:t>
      </w:r>
      <w:r>
        <w:rPr>
          <w:rFonts w:hint="eastAsia" w:ascii="宋体" w:hAnsi="宋体" w:cs="宋体"/>
          <w:b/>
          <w:bCs/>
          <w:color w:val="auto"/>
          <w:kern w:val="0"/>
          <w:sz w:val="24"/>
          <w:szCs w:val="24"/>
          <w:lang w:val="en-US" w:eastAsia="zh-CN"/>
        </w:rPr>
        <w:t>及周边</w:t>
      </w:r>
      <w:r>
        <w:rPr>
          <w:rFonts w:hint="eastAsia" w:ascii="宋体" w:hAnsi="宋体" w:eastAsia="宋体" w:cs="宋体"/>
          <w:b/>
          <w:bCs/>
          <w:color w:val="auto"/>
          <w:kern w:val="0"/>
          <w:sz w:val="24"/>
          <w:szCs w:val="24"/>
          <w:lang w:eastAsia="zh-CN"/>
        </w:rPr>
        <w:t>区域内</w:t>
      </w:r>
      <w:r>
        <w:rPr>
          <w:rFonts w:hint="eastAsia" w:ascii="宋体" w:hAnsi="宋体" w:cs="宋体"/>
          <w:b/>
          <w:bCs/>
          <w:color w:val="auto"/>
          <w:kern w:val="0"/>
          <w:sz w:val="24"/>
          <w:szCs w:val="24"/>
          <w:lang w:val="en-US" w:eastAsia="zh-CN"/>
        </w:rPr>
        <w:t>的消防、用电和交通等安全责任。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FF0000"/>
          <w:kern w:val="0"/>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bCs/>
          <w:sz w:val="24"/>
          <w:szCs w:val="24"/>
          <w:shd w:val="clear" w:color="auto" w:fill="auto"/>
          <w:lang w:eastAsia="zh-CN"/>
        </w:rPr>
      </w:pPr>
      <w:r>
        <w:rPr>
          <w:rFonts w:hint="eastAsia" w:ascii="宋体" w:hAnsi="宋体" w:cs="宋体"/>
          <w:b w:val="0"/>
          <w:bCs w:val="0"/>
          <w:sz w:val="24"/>
          <w:szCs w:val="24"/>
          <w:shd w:val="clear" w:color="auto" w:fill="auto"/>
          <w:lang w:val="en-US" w:eastAsia="zh-CN"/>
        </w:rPr>
        <w:t>5、</w:t>
      </w:r>
      <w:r>
        <w:rPr>
          <w:rFonts w:hint="eastAsia" w:ascii="宋体" w:hAnsi="宋体" w:eastAsia="宋体" w:cs="宋体"/>
          <w:b w:val="0"/>
          <w:bCs w:val="0"/>
          <w:sz w:val="24"/>
          <w:szCs w:val="24"/>
          <w:shd w:val="clear" w:color="auto" w:fill="auto"/>
          <w:lang w:val="en-US" w:eastAsia="zh-CN"/>
        </w:rPr>
        <w:t>租赁</w:t>
      </w:r>
      <w:r>
        <w:rPr>
          <w:rFonts w:hint="eastAsia" w:ascii="宋体" w:hAnsi="宋体" w:cs="宋体"/>
          <w:b w:val="0"/>
          <w:bCs w:val="0"/>
          <w:sz w:val="24"/>
          <w:szCs w:val="24"/>
          <w:shd w:val="clear" w:color="auto" w:fill="auto"/>
          <w:lang w:val="en-US" w:eastAsia="zh-CN"/>
        </w:rPr>
        <w:t>场地</w:t>
      </w:r>
      <w:r>
        <w:rPr>
          <w:rFonts w:hint="eastAsia" w:ascii="宋体" w:hAnsi="宋体" w:eastAsia="宋体" w:cs="宋体"/>
          <w:b w:val="0"/>
          <w:bCs w:val="0"/>
          <w:sz w:val="24"/>
          <w:szCs w:val="24"/>
          <w:shd w:val="clear" w:color="auto" w:fill="auto"/>
          <w:lang w:val="en-US" w:eastAsia="zh-CN"/>
        </w:rPr>
        <w:t>移交</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）租赁</w:t>
      </w:r>
      <w:r>
        <w:rPr>
          <w:rFonts w:hint="eastAsia" w:ascii="宋体" w:hAnsi="宋体" w:cs="宋体"/>
          <w:b/>
          <w:bCs/>
          <w:sz w:val="24"/>
          <w:szCs w:val="24"/>
          <w:shd w:val="clear" w:color="auto" w:fill="auto"/>
          <w:lang w:val="en-US" w:eastAsia="zh-CN"/>
        </w:rPr>
        <w:t>场地</w:t>
      </w:r>
      <w:r>
        <w:rPr>
          <w:rFonts w:hint="eastAsia" w:ascii="宋体" w:hAnsi="宋体" w:eastAsia="宋体" w:cs="宋体"/>
          <w:b/>
          <w:bCs/>
          <w:sz w:val="24"/>
          <w:szCs w:val="24"/>
          <w:shd w:val="clear" w:color="auto" w:fill="auto"/>
          <w:lang w:eastAsia="zh-CN"/>
        </w:rPr>
        <w:t>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cs="宋体"/>
          <w:b/>
          <w:bCs/>
          <w:sz w:val="24"/>
          <w:szCs w:val="24"/>
          <w:shd w:val="clear" w:color="auto" w:fill="auto"/>
          <w:lang w:val="en-US" w:eastAsia="zh-CN"/>
        </w:rPr>
        <w:t>场地</w:t>
      </w:r>
      <w:r>
        <w:rPr>
          <w:rFonts w:hint="eastAsia" w:ascii="宋体" w:hAnsi="宋体" w:eastAsia="宋体" w:cs="宋体"/>
          <w:b/>
          <w:bCs/>
          <w:sz w:val="24"/>
          <w:szCs w:val="24"/>
          <w:shd w:val="clear" w:color="auto" w:fill="auto"/>
        </w:rPr>
        <w:t>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pPr>
        <w:pStyle w:val="13"/>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pPr>
        <w:pStyle w:val="13"/>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pPr>
        <w:pStyle w:val="7"/>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2</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如实际有出入，以实际面积为准，成交款（租金）不作退补。</w:t>
      </w:r>
    </w:p>
    <w:p>
      <w:pPr>
        <w:pStyle w:val="7"/>
        <w:widowControl/>
        <w:spacing w:beforeAutospacing="0" w:afterAutospacing="0" w:line="360" w:lineRule="auto"/>
        <w:ind w:firstLine="480" w:firstLineChars="200"/>
        <w:rPr>
          <w:rFonts w:hint="eastAsia" w:ascii="宋体" w:hAnsi="宋体" w:eastAsia="宋体"/>
          <w:b/>
          <w:bCs/>
          <w:color w:val="auto"/>
          <w:sz w:val="24"/>
          <w:lang w:val="en-US" w:eastAsia="zh-CN"/>
        </w:rPr>
      </w:pPr>
      <w:r>
        <w:rPr>
          <w:rFonts w:hint="eastAsia" w:ascii="宋体" w:hAnsi="宋体"/>
          <w:color w:val="auto"/>
          <w:sz w:val="24"/>
          <w:lang w:val="en-US" w:eastAsia="zh-CN"/>
        </w:rPr>
        <w:t>3、</w:t>
      </w:r>
      <w:r>
        <w:rPr>
          <w:rFonts w:hint="eastAsia" w:ascii="宋体" w:hAnsi="宋体" w:eastAsia="宋体" w:cs="宋体"/>
          <w:b/>
          <w:bCs/>
          <w:color w:val="auto"/>
          <w:kern w:val="0"/>
          <w:sz w:val="24"/>
          <w:szCs w:val="24"/>
        </w:rPr>
        <w:t>如需对租赁</w:t>
      </w:r>
      <w:r>
        <w:rPr>
          <w:rFonts w:hint="eastAsia" w:ascii="宋体" w:hAnsi="宋体" w:cs="宋体"/>
          <w:b/>
          <w:bCs/>
          <w:color w:val="auto"/>
          <w:kern w:val="0"/>
          <w:sz w:val="24"/>
          <w:szCs w:val="24"/>
          <w:lang w:val="en-US" w:eastAsia="zh-CN"/>
        </w:rPr>
        <w:t>场地</w:t>
      </w:r>
      <w:r>
        <w:rPr>
          <w:rFonts w:hint="eastAsia" w:ascii="宋体" w:hAnsi="宋体" w:eastAsia="宋体" w:cs="宋体"/>
          <w:b/>
          <w:bCs/>
          <w:color w:val="auto"/>
          <w:kern w:val="0"/>
          <w:sz w:val="24"/>
          <w:szCs w:val="24"/>
        </w:rPr>
        <w:t>进行装修或增扩设备时，需征得街道及</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同意。</w:t>
      </w:r>
      <w:r>
        <w:rPr>
          <w:rFonts w:hint="eastAsia" w:ascii="宋体" w:hAnsi="宋体" w:eastAsia="宋体" w:cs="宋体"/>
          <w:b/>
          <w:bCs/>
          <w:sz w:val="24"/>
          <w:szCs w:val="24"/>
        </w:rPr>
        <w:t>按规定报消防、城管、房管等相关部门审批同意方可装修</w:t>
      </w:r>
      <w:r>
        <w:rPr>
          <w:rFonts w:hint="eastAsia" w:ascii="宋体" w:hAnsi="宋体" w:eastAsia="宋体" w:cs="宋体"/>
          <w:b/>
          <w:bCs/>
          <w:sz w:val="24"/>
          <w:szCs w:val="24"/>
          <w:lang w:eastAsia="zh-CN"/>
        </w:rPr>
        <w:t>，</w:t>
      </w:r>
      <w:r>
        <w:rPr>
          <w:rFonts w:hint="eastAsia" w:ascii="宋体" w:hAnsi="宋体" w:eastAsia="宋体" w:cs="宋体"/>
          <w:b/>
          <w:bCs/>
          <w:color w:val="auto"/>
          <w:kern w:val="0"/>
          <w:sz w:val="24"/>
          <w:szCs w:val="24"/>
        </w:rPr>
        <w:t>费用</w:t>
      </w:r>
      <w:r>
        <w:rPr>
          <w:rFonts w:hint="eastAsia" w:ascii="宋体" w:hAnsi="宋体" w:eastAsia="宋体" w:cs="宋体"/>
          <w:b/>
          <w:bCs/>
          <w:sz w:val="24"/>
          <w:szCs w:val="24"/>
        </w:rPr>
        <w:t>和责任均由</w:t>
      </w:r>
      <w:r>
        <w:rPr>
          <w:rFonts w:hint="eastAsia" w:ascii="宋体" w:hAnsi="宋体" w:eastAsia="宋体" w:cs="宋体"/>
          <w:b/>
          <w:bCs/>
          <w:sz w:val="24"/>
          <w:szCs w:val="24"/>
          <w:lang w:eastAsia="zh-CN"/>
        </w:rPr>
        <w:t>承租人</w:t>
      </w:r>
      <w:r>
        <w:rPr>
          <w:rFonts w:hint="eastAsia" w:ascii="宋体" w:hAnsi="宋体" w:eastAsia="宋体" w:cs="宋体"/>
          <w:b/>
          <w:bCs/>
          <w:sz w:val="24"/>
          <w:szCs w:val="24"/>
        </w:rPr>
        <w:t>承担</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sz w:val="24"/>
          <w:szCs w:val="24"/>
        </w:rPr>
        <w:t>经委托人验收认可，</w:t>
      </w:r>
      <w:r>
        <w:rPr>
          <w:rFonts w:hint="eastAsia" w:ascii="宋体" w:hAnsi="宋体" w:cs="宋体"/>
          <w:b/>
          <w:bCs/>
          <w:sz w:val="24"/>
          <w:szCs w:val="24"/>
          <w:lang w:eastAsia="zh-CN"/>
        </w:rPr>
        <w:t>方可</w:t>
      </w:r>
      <w:r>
        <w:rPr>
          <w:rFonts w:hint="eastAsia" w:ascii="宋体" w:hAnsi="宋体" w:eastAsia="宋体" w:cs="宋体"/>
          <w:b/>
          <w:bCs/>
          <w:sz w:val="24"/>
          <w:szCs w:val="24"/>
        </w:rPr>
        <w:t>结清</w:t>
      </w:r>
      <w:r>
        <w:rPr>
          <w:rFonts w:hint="eastAsia" w:ascii="宋体" w:hAnsi="宋体" w:cs="宋体"/>
          <w:b/>
          <w:bCs/>
          <w:sz w:val="24"/>
          <w:szCs w:val="24"/>
          <w:lang w:eastAsia="zh-CN"/>
        </w:rPr>
        <w:t>相关</w:t>
      </w:r>
      <w:r>
        <w:rPr>
          <w:rFonts w:hint="eastAsia" w:ascii="宋体" w:hAnsi="宋体" w:eastAsia="宋体" w:cs="宋体"/>
          <w:b/>
          <w:bCs/>
          <w:sz w:val="24"/>
          <w:szCs w:val="24"/>
        </w:rPr>
        <w:t>费用</w:t>
      </w:r>
      <w:r>
        <w:rPr>
          <w:rFonts w:hint="eastAsia" w:ascii="宋体" w:hAnsi="宋体" w:cs="宋体"/>
          <w:b/>
          <w:bCs/>
          <w:sz w:val="24"/>
          <w:szCs w:val="24"/>
          <w:lang w:eastAsia="zh-CN"/>
        </w:rPr>
        <w:t>（履约保证金）</w:t>
      </w:r>
      <w:r>
        <w:rPr>
          <w:rFonts w:hint="eastAsia" w:ascii="宋体" w:hAnsi="宋体" w:eastAsia="宋体" w:cs="宋体"/>
          <w:b/>
          <w:bCs/>
          <w:sz w:val="24"/>
          <w:szCs w:val="24"/>
        </w:rPr>
        <w:t>。</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w:t>
      </w:r>
      <w:r>
        <w:rPr>
          <w:rFonts w:hint="eastAsia" w:ascii="宋体" w:hAnsi="宋体" w:cs="宋体"/>
          <w:color w:val="auto"/>
          <w:sz w:val="24"/>
          <w:szCs w:val="24"/>
          <w:lang w:val="en-US" w:eastAsia="zh-CN"/>
        </w:rPr>
        <w:t>竞价</w:t>
      </w:r>
      <w:r>
        <w:rPr>
          <w:rFonts w:hint="eastAsia" w:ascii="宋体" w:hAnsi="宋体" w:eastAsia="宋体" w:cs="宋体"/>
          <w:color w:val="auto"/>
          <w:sz w:val="24"/>
          <w:szCs w:val="24"/>
        </w:rPr>
        <w:t>成功后另行主张标的物的瑕疵权利。</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《租赁合同》《租赁安全管理协议》《平面图》</w:t>
      </w:r>
    </w:p>
    <w:p>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21</w:t>
      </w:r>
      <w:r>
        <w:rPr>
          <w:rFonts w:hint="eastAsia" w:ascii="宋体" w:hAnsi="宋体" w:eastAsia="宋体" w:cs="宋体"/>
          <w:color w:val="auto"/>
          <w:sz w:val="24"/>
          <w:szCs w:val="24"/>
        </w:rPr>
        <w:t>日</w:t>
      </w:r>
    </w:p>
    <w:p>
      <w:pPr>
        <w:jc w:val="left"/>
        <w:rPr>
          <w:rFonts w:ascii="方正小标宋简体" w:hAnsi="方正小标宋简体" w:eastAsia="方正小标宋简体"/>
          <w:sz w:val="44"/>
          <w:szCs w:val="44"/>
        </w:rPr>
      </w:pPr>
      <w:r>
        <w:rPr>
          <w:rFonts w:hint="eastAsia" w:ascii="黑体" w:hAnsi="黑体" w:eastAsia="黑体" w:cs="黑体"/>
          <w:b/>
          <w:bCs/>
          <w:sz w:val="30"/>
          <w:szCs w:val="30"/>
        </w:rPr>
        <w:t>附件：</w:t>
      </w:r>
    </w:p>
    <w:p>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lang w:val="en-US" w:eastAsia="zh-CN"/>
        </w:rPr>
        <w:t>场地</w:t>
      </w:r>
      <w:r>
        <w:rPr>
          <w:rFonts w:hint="eastAsia" w:ascii="方正小标宋简体" w:hAnsi="方正小标宋简体" w:eastAsia="方正小标宋简体" w:cs="方正小标宋简体"/>
          <w:sz w:val="40"/>
          <w:szCs w:val="40"/>
        </w:rPr>
        <w:t>租赁合同</w:t>
      </w:r>
    </w:p>
    <w:p>
      <w:pPr>
        <w:spacing w:line="440" w:lineRule="exact"/>
        <w:ind w:firstLine="5920" w:firstLineChars="185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合同</w:t>
      </w:r>
      <w:r>
        <w:rPr>
          <w:rFonts w:hint="eastAsia" w:ascii="仿宋_GB2312" w:hAnsi="仿宋_GB2312" w:eastAsia="仿宋_GB2312" w:cs="仿宋_GB2312"/>
          <w:color w:val="000000"/>
          <w:sz w:val="32"/>
          <w:szCs w:val="32"/>
        </w:rPr>
        <w:t>编号：</w:t>
      </w:r>
    </w:p>
    <w:p>
      <w:pPr>
        <w:spacing w:line="440" w:lineRule="exact"/>
        <w:ind w:firstLine="5180" w:firstLineChars="1850"/>
        <w:rPr>
          <w:rFonts w:ascii="仿宋_GB2312" w:hAnsi="仿宋_GB2312" w:eastAsia="仿宋_GB2312" w:cs="仿宋_GB2312"/>
          <w:color w:val="000000"/>
          <w:sz w:val="32"/>
          <w:szCs w:val="32"/>
        </w:rPr>
      </w:pPr>
      <w:r>
        <w:rPr>
          <w:rFonts w:ascii="仿宋_GB2312" w:hAnsi="仿宋_GB2312" w:eastAsia="仿宋_GB2312" w:cs="仿宋_GB2312"/>
          <w:sz w:val="28"/>
          <w:szCs w:val="28"/>
        </w:rPr>
        <w:t xml:space="preserve">                          </w:t>
      </w:r>
    </w:p>
    <w:p>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出租方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甲方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pP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承租方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乙方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u w:val="single"/>
        </w:rPr>
        <w:t xml:space="preserve">                            </w:t>
      </w:r>
      <w:r>
        <w:rPr>
          <w:rFonts w:ascii="仿宋_GB2312" w:hAnsi="仿宋_GB2312" w:eastAsia="仿宋_GB2312" w:cs="仿宋_GB2312"/>
          <w:b/>
          <w:color w:val="000000"/>
          <w:sz w:val="32"/>
          <w:szCs w:val="32"/>
        </w:rPr>
        <w:t xml:space="preserve">                              </w:t>
      </w:r>
      <w:r>
        <w:rPr>
          <w:rFonts w:hint="eastAsia" w:ascii="仿宋_GB2312" w:hAnsi="仿宋_GB2312" w:eastAsia="仿宋_GB2312" w:cs="仿宋_GB2312"/>
          <w:b/>
          <w:color w:val="000000"/>
          <w:sz w:val="32"/>
          <w:szCs w:val="32"/>
        </w:rPr>
        <w:t xml:space="preserve"> </w:t>
      </w:r>
      <w:r>
        <w:rPr>
          <w:rFonts w:ascii="仿宋_GB2312" w:hAnsi="仿宋_GB2312" w:eastAsia="仿宋_GB2312" w:cs="仿宋_GB2312"/>
          <w:b/>
          <w:color w:val="000000"/>
          <w:sz w:val="32"/>
          <w:szCs w:val="32"/>
        </w:rPr>
        <w:t xml:space="preserve"> </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根据《中华人民共和国民法典》以及相关法律的规定，甲乙双方本着平等、自愿等原则，就房屋租赁事宜，协商一致，签订房屋租赁合同（下称“本合同”）。</w:t>
      </w:r>
    </w:p>
    <w:p>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一、租赁标的物</w:t>
      </w:r>
    </w:p>
    <w:p>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00"/>
          <w:sz w:val="32"/>
          <w:szCs w:val="32"/>
        </w:rPr>
        <w:t>1. 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号房屋出租给乙方，租赁</w:t>
      </w:r>
      <w:r>
        <w:rPr>
          <w:rFonts w:hint="eastAsia" w:ascii="仿宋_GB2312" w:hAnsi="仿宋_GB2312" w:eastAsia="仿宋_GB2312" w:cs="仿宋_GB2312"/>
          <w:color w:val="000000"/>
          <w:sz w:val="32"/>
          <w:szCs w:val="32"/>
          <w:lang w:val="en-US" w:eastAsia="zh-CN"/>
        </w:rPr>
        <w:t>物占地</w:t>
      </w:r>
      <w:r>
        <w:rPr>
          <w:rFonts w:hint="eastAsia" w:ascii="仿宋_GB2312" w:hAnsi="仿宋_GB2312" w:eastAsia="仿宋_GB2312" w:cs="仿宋_GB2312"/>
          <w:color w:val="000000"/>
          <w:sz w:val="32"/>
          <w:szCs w:val="32"/>
        </w:rPr>
        <w:t>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乙方承租的租赁房屋用途为：</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经营，具体经营范围按照其营业执照规定的经营范围确定</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，未经甲方书面同意以及按规定经有关部门审核批准，乙方不得私自改变租赁房屋用途。</w:t>
      </w:r>
    </w:p>
    <w:p>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二、租赁期限</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三、租金、合同履约保证金及支付方式</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租赁房屋年租金（含税）合计人民币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元（大写：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）。开票税率  %，金额  元，税额  元。租金一年一付，每壹年为一期，乙方应于本合同签订之日起7日内支付首期租金。此后每一期租金，乙方应按照先支付后使用原则，于每年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日之前需付清下一期租金，不得延迟。甲方收到乙方租金后向乙方开具租金发票。如乙方逾期支付租金的，每逾期一日的，乙方需按照未付租金总额的万分之三支付违约金。</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为保证合同的履约以及对承租房屋的合理使用，乙方必须在本合同签订之日起15日内向甲方支付合同履约保证金人民币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元（为</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个月租金）。乙方应按照本合同约定切实履行各项义务，否则，甲方可从合同履约保证金中优先扣除乙方未结清的费用、违约金和应承担的各项赔偿等，不足部分另行赔付。如乙方违约，甲方可罚没履约保证金。</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合同履约保证金不计利息。待租期届满或双方同意提前解除本合同的，在乙方结清所有费用且无违约情形，甲方对乙方交还的房屋验收合格后，将履约保证金一次性悉数退还给乙方。</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乙方所有租金、合同履约保证金等款项均要以银行转账方式划转至甲方银行结算账户，乙方不得以现金方式交付给甲方任何人员。特殊情况由双方另行协商。甲方指定收款账户信息如下：</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w:t>
      </w:r>
      <w:r>
        <w:rPr>
          <w:rFonts w:hint="eastAsia" w:ascii="仿宋_GB2312" w:hAnsi="仿宋_GB2312" w:eastAsia="仿宋_GB2312" w:cs="仿宋_GB2312"/>
          <w:color w:val="000000"/>
          <w:sz w:val="32"/>
          <w:szCs w:val="32"/>
          <w:u w:val="single"/>
        </w:rPr>
        <w:t xml:space="preserve">   宁波市镇海区骆驼房地产开发有限公司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w:t>
      </w:r>
      <w:r>
        <w:rPr>
          <w:rFonts w:hint="eastAsia" w:ascii="仿宋_GB2312" w:hAnsi="仿宋_GB2312" w:eastAsia="仿宋_GB2312" w:cs="仿宋_GB2312"/>
          <w:color w:val="000000"/>
          <w:sz w:val="32"/>
          <w:szCs w:val="32"/>
          <w:u w:val="single"/>
        </w:rPr>
        <w:t xml:space="preserve">     33101984040050166384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w:t>
      </w:r>
      <w:r>
        <w:rPr>
          <w:rFonts w:hint="eastAsia" w:ascii="仿宋_GB2312" w:hAnsi="仿宋_GB2312" w:eastAsia="仿宋_GB2312" w:cs="仿宋_GB2312"/>
          <w:color w:val="000000"/>
          <w:sz w:val="32"/>
          <w:szCs w:val="32"/>
          <w:u w:val="single"/>
        </w:rPr>
        <w:t xml:space="preserve">   中国建设银行宁波骆驼支行                                     </w:t>
      </w:r>
      <w:r>
        <w:rPr>
          <w:rFonts w:hint="eastAsia" w:ascii="仿宋_GB2312" w:hAnsi="仿宋_GB2312" w:eastAsia="仿宋_GB2312" w:cs="仿宋_GB2312"/>
          <w:color w:val="000000"/>
          <w:sz w:val="32"/>
          <w:szCs w:val="32"/>
        </w:rPr>
        <w:t xml:space="preserve">                                       </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租赁期间，所有水费、电费、通讯、物业费和其他相关费用均由乙方承担。</w:t>
      </w:r>
    </w:p>
    <w:p>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四、双方的权利义务</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）甲方的权利与义务</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甲方承诺提供给乙方使用的房屋土地无纠纷，如因产权纠纷所引起的责任和经济损失由甲方承担。</w:t>
      </w:r>
    </w:p>
    <w:p>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甲方不得无故提前收回出租房屋。如遇特殊情况，包括但不限于因国家政策、规划或其他政府原因需要征拆本合同所涉房屋土地或收回房屋土地等情形的，甲方应提前一个月通知乙方，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房屋移交手续后，甲方应一次性无息退还未到期的剩余租金，乙方不得以任何理由延迟腾退期限。如乙方逾期不腾退，甲方有权向人民法院提起诉讼，并由乙方承担甲方为实现债权所支出的所有费用。</w:t>
      </w:r>
    </w:p>
    <w:p>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本合同期满前三个月，甲方有权开展重新招租工作，包括但不限于设置招租公告，在提前通知乙方的前提下为未来承租户展示租赁房屋，乙方应全力配合。</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）乙方的权利与义务</w:t>
      </w:r>
      <w:r>
        <w:rPr>
          <w:rFonts w:ascii="仿宋_GB2312" w:hAnsi="仿宋_GB2312" w:eastAsia="仿宋_GB2312" w:cs="仿宋_GB2312"/>
          <w:color w:val="000000"/>
          <w:sz w:val="32"/>
          <w:szCs w:val="32"/>
        </w:rPr>
        <w:t xml:space="preserve">                                         </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未经甲方同意，乙方不得将租用房屋转租或以合作、转股、承包等任何方式变相转让、转移或使承租房屋实际处于第三方控制，或与第三方互换房屋使用。</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乙方应爱护和正常使用租赁房屋及有关附属设施设备；乙方使用承租房屋或其他附属设施设备不当或非甲方原因造成房屋或设备设施损坏的，乙方负责赔偿或修复。</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乙方负责承租范围内房屋、附属设施、水、电、管道等所有房屋本身及其附属设施设备的日常维修，所有费用由乙方自理。</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除甲方负责对租赁房屋投保财产综合险外，乙方应考虑台风、潮汛、火灾等灾害，自行购买相关保险。</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乙方如需改、扩建，不得改变房屋结构，不得影响房屋安全，且事先须征得甲方同意并经有关部门批准，改、扩建费用由乙方自理；租赁期满，乙方改、扩建的不动产不得拆除（归甲方所有），甲方不补偿任何费用。</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 xml:space="preserve"> 乙方如需重新装修，事先须征得甲方同意，费用乙方自理。租赁期满后装修归甲方所有</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乙方不得拆除且不得向甲方要求支付装修费用。</w:t>
      </w:r>
    </w:p>
    <w:p>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 xml:space="preserve"> 乙方承诺使用承租房屋从事的各项活动均符合国家法律法规，并独立承担全部责任。</w:t>
      </w:r>
    </w:p>
    <w:p>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 xml:space="preserve"> 乙方须接受租赁房屋所在楼宇物业管理公司提供的服务，并遵守物业管理公司制定的各项制度条款。</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 未经甲方书面同意，乙方不得提前终止合同。如乙方单方面提前终止合同的，已经支付的租金及履约保证金不予退还，并应当支付甲方相当于三个月租金的违约金。</w:t>
      </w:r>
    </w:p>
    <w:p>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五、违约责任</w:t>
      </w:r>
    </w:p>
    <w:p>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因乙方下列原因造成，甲方有权书面通知乙方提前解除租赁合同，已收的租金及履约保证金不再退还，乙方应当支付甲方相当于三个月租金的违约金，并承担给甲方造成的一切直接和间接经济损失，包括但不限于（律师费、保全费、鉴定费等）：</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）乙方未经允许，擅自将出租房屋转租、转借或非法转让的；或以合作、承包、股份转让等变相方式转移出租房屋使用权给他人或与他人共同使用的；</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）乙方在出租房屋内进行非法活动或损害公共利益的；</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）乙方恶意破坏出租房屋主体结构，或未经允许擅自对房屋主体结构作重大改变的；</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）乙方非法在出租房屋上设置抵押、担保等他项权利的；</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）乙方主体注销或以转股、变卖等方式更换投资主体或乙方破产、清算、被法院、行政机关依法查封出租房屋内资产或对其法定代表人或主要经营活动的负责人采取强制措施的；</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）乙方拖欠甲方租金累计超过一个月的；</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）未经甲方同意，乙方擅自改变房屋租赁用途的</w:t>
      </w:r>
      <w:r>
        <w:rPr>
          <w:rFonts w:ascii="仿宋_GB2312" w:hAnsi="仿宋_GB2312" w:eastAsia="仿宋_GB2312" w:cs="仿宋_GB2312"/>
          <w:color w:val="000000"/>
          <w:sz w:val="32"/>
          <w:szCs w:val="32"/>
        </w:rPr>
        <w:t>;</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）乙方违反本合同其他约定，经甲方催告后仍未按甲方要求整改到位的；</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（9）乙方未经甲方书面同意中途擅自退租的；</w:t>
      </w: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（10）乙方在收到甲方搬迁通知书后未按期腾退的。</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租赁期满或提前解除本合同的，乙方必须按时搬出全部物件。如仍有余物，视作无主物，由甲方处理，如因此发生的费用由乙方承担。如乙方逾期不腾退，需按照日租金的三倍向甲方支付房屋占用费。</w:t>
      </w:r>
    </w:p>
    <w:p>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六、特别约定事项</w:t>
      </w:r>
    </w:p>
    <w:p>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1. 租赁期限届满，合同自然终止，甲方有权收回房屋土地，乙方应如期归还。房屋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 xml:space="preserve">                                                          </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七、其他</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为加强安全管理，落实安全责任，双方就安全管理事项另行签订《租赁安全管理协议》。</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本合同在履行中若发生争议，甲乙双方应采取协商的办法解决，协商不成时，任何一方均可向镇海区人民法院起诉。</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本合同未尽事宜，甲乙双方可另外商定，其补充协议经双方签字盖章后与本合同具有同等效力。</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本合同经双方签字、盖章之日起生效。</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本合同一式伍份，甲方执叁份、乙方执贰份。</w:t>
      </w:r>
    </w:p>
    <w:p>
      <w:pPr>
        <w:ind w:firstLine="640" w:firstLineChars="200"/>
        <w:rPr>
          <w:rFonts w:hint="eastAsia" w:ascii="仿宋_GB2312" w:hAnsi="仿宋_GB2312" w:eastAsia="仿宋_GB2312" w:cs="仿宋_GB2312"/>
          <w:color w:val="000000"/>
          <w:sz w:val="32"/>
          <w:szCs w:val="32"/>
        </w:rPr>
      </w:pPr>
    </w:p>
    <w:p>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附件：租赁安全管理协议</w:t>
      </w:r>
    </w:p>
    <w:p>
      <w:pPr>
        <w:rPr>
          <w:rFonts w:hint="eastAsia" w:ascii="仿宋_GB2312" w:hAnsi="仿宋_GB2312" w:eastAsia="仿宋_GB2312" w:cs="仿宋_GB2312"/>
          <w:color w:val="000000"/>
          <w:sz w:val="32"/>
          <w:szCs w:val="32"/>
        </w:rPr>
      </w:pPr>
    </w:p>
    <w:p>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联系电话：86655698</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p>
    <w:p>
      <w:pPr>
        <w:spacing w:line="360" w:lineRule="auto"/>
        <w:rPr>
          <w:rFonts w:ascii="仿宋_GB2312" w:hAnsi="仿宋_GB2312" w:eastAsia="仿宋_GB2312" w:cs="仿宋_GB2312"/>
          <w:sz w:val="28"/>
          <w:szCs w:val="28"/>
          <w:lang w:val="zh-CN"/>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仿宋_GB2312" w:hAnsi="仿宋_GB2312" w:eastAsia="仿宋_GB2312" w:cs="仿宋_GB2312"/>
          <w:color w:val="000000"/>
          <w:sz w:val="32"/>
          <w:szCs w:val="32"/>
        </w:rPr>
        <w:t>附件：</w:t>
      </w:r>
    </w:p>
    <w:p>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租赁安全管理协议</w:t>
      </w:r>
    </w:p>
    <w:p>
      <w:pPr>
        <w:ind w:firstLine="640" w:firstLineChars="200"/>
        <w:rPr>
          <w:rFonts w:ascii="仿宋_GB2312" w:hAnsi="仿宋_GB2312" w:eastAsia="仿宋_GB2312" w:cs="仿宋_GB2312"/>
          <w:color w:val="000000"/>
          <w:sz w:val="32"/>
          <w:szCs w:val="32"/>
        </w:rPr>
      </w:pPr>
    </w:p>
    <w:p>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甲方：</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pPr>
        <w:rPr>
          <w:rFonts w:hint="eastAsia" w:ascii="仿宋_GB2312" w:hAnsi="仿宋_GB2312" w:eastAsia="仿宋_GB2312" w:cs="仿宋_GB2312"/>
          <w:b/>
          <w:color w:val="000000"/>
          <w:sz w:val="32"/>
          <w:szCs w:val="32"/>
          <w:u w:val="single"/>
        </w:rPr>
      </w:pPr>
      <w:r>
        <w:rPr>
          <w:rFonts w:hint="eastAsia" w:ascii="仿宋_GB2312" w:hAnsi="仿宋_GB2312" w:eastAsia="仿宋_GB2312" w:cs="仿宋_GB2312"/>
          <w:b/>
          <w:color w:val="000000"/>
          <w:sz w:val="32"/>
          <w:szCs w:val="32"/>
        </w:rPr>
        <w:t>乙方：</w:t>
      </w:r>
      <w:r>
        <w:rPr>
          <w:rFonts w:hint="eastAsia" w:ascii="仿宋_GB2312" w:hAnsi="仿宋_GB2312" w:eastAsia="仿宋_GB2312" w:cs="仿宋_GB2312"/>
          <w:b/>
          <w:color w:val="000000"/>
          <w:sz w:val="32"/>
          <w:szCs w:val="32"/>
          <w:u w:val="single"/>
        </w:rPr>
        <w:t xml:space="preserve">                               </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安全生产法》《中华人民共和国消防法》《宁波市安全生产条例》等法律、法规和精神，为加强国有资产安全管理，保障人民群众生命和财产安全，在双方签订《房屋租赁合同》的基础上，就加强安全管理，落实安全责任，经协商，特签定本安全管理协议，并共同遵循。</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号房屋出租给乙方，租赁</w:t>
      </w:r>
      <w:r>
        <w:rPr>
          <w:rFonts w:hint="eastAsia" w:ascii="仿宋_GB2312" w:hAnsi="仿宋_GB2312" w:eastAsia="仿宋_GB2312" w:cs="仿宋_GB2312"/>
          <w:color w:val="000000"/>
          <w:sz w:val="32"/>
          <w:szCs w:val="32"/>
          <w:lang w:val="en-US" w:eastAsia="zh-CN"/>
        </w:rPr>
        <w:t>物占地</w:t>
      </w:r>
      <w:r>
        <w:rPr>
          <w:rFonts w:hint="eastAsia" w:ascii="仿宋_GB2312" w:hAnsi="仿宋_GB2312" w:eastAsia="仿宋_GB2312" w:cs="仿宋_GB2312"/>
          <w:color w:val="000000"/>
          <w:sz w:val="32"/>
          <w:szCs w:val="32"/>
        </w:rPr>
        <w:t>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三、乙方在租赁期间的安全管理责任</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乙方在租用期间，是此房屋消防、治安的第一责任人，并承担相应的消防、治安责任。自行负责房屋的一切消防安全工作，要切实加强安全管理，合法</w:t>
      </w:r>
      <w:bookmarkStart w:id="0" w:name="_GoBack"/>
      <w:bookmarkEnd w:id="0"/>
      <w:r>
        <w:rPr>
          <w:rFonts w:hint="eastAsia" w:ascii="仿宋_GB2312" w:hAnsi="仿宋_GB2312" w:eastAsia="仿宋_GB2312" w:cs="仿宋_GB2312"/>
          <w:color w:val="000000"/>
          <w:sz w:val="32"/>
          <w:szCs w:val="32"/>
        </w:rPr>
        <w:t>经营，不得从事非法经营或其他违法活动。</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乙方负责建立健全承租房屋的消防安全制度和措施，制定消防安全岗位责任制，落实承租区域消防安全责任。建立日常安全工作台账，每月组织一次全面安全自我检查。</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承租的房屋用于生产经营的，乙方必须符合市场监督管理部门对生产经营范围内的管理要求，合法经营。餐饮业要特别注意用气安全和食品卫生安全。严格遵守安全生产经营的规定，自行办理从业人员人身及财产的保险。</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负责租赁房屋文明经营、环境保护、食品安全、消防安全、人身、公私财产安全保卫工作，加强安全防范与治安，如发生火灾、偷盗、伤亡等事故由乙方自行负责；如由于非甲方原因造成的搁置物悬挂物脱落、高空坠物造成伤亡等相关事故的由乙方自行承担，甲方不承担任何费用和责任。</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对承租区域内的安全生产经营全面负责，对发现事故隐患或不安全因素应立即整改；对发生事故所造成自身损失的，由乙方自行负责承担责任。如因乙方事故造成甲方或第三方损失的，由乙方负责承担责任并负责赔偿损失。</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乙方如在承租房屋内从事非法生产、加工、储存，经营爆炸性、毒害性、放射性、腐蚀性物质或传染病原体等危险物质，对周边环境造成损害或损坏的，由乙方承担全部责任并赔偿损失。</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乙方不得擅自改动房屋内外的水、电、气及消防管线等，如确需要改动的，必须以书面形式报甲方和有关部门批复同意后方可实施，如未报自行改动所带来的后果由乙方承担。</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不得对承租房主体结构任意改造和对周边违规扩建，如确需要改造和扩建，必须以书面形式报甲方和相关部门批复同意方可实施，如未报自行改造、扩建的，乙方必须负全部责任，并恢复原样，所造成的经济损失由乙方承担。</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乙方应按消防部门有关规定全面负责租赁房屋内的防火安全，配置必要的消防设施设备和器材，设置消防安全标识，并定期组织检验、维修，确保设施设备和器材完好有效。严禁将楼宇内消防设施用作其它用途。如由于乙方原因造成相关事故的，由乙方自行承担责任并赔偿损失。</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乙方不得占用和堵塞消防通道和安全出口，确保消防通道、安全出口畅通。</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乙方应遵守法律规定应尽的其他安全生产及消防安全职责。</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甲方或甲方委托的第三方机构对乙方进行安全生产及消防安全的检查工作，乙方必须自觉配合，并服从督促及整改。如不按期整改或整改不彻底，发生事故造成后果由乙方负全部责任。</w:t>
      </w:r>
      <w:r>
        <w:rPr>
          <w:rFonts w:ascii="仿宋_GB2312" w:hAnsi="仿宋_GB2312" w:eastAsia="仿宋_GB2312" w:cs="仿宋_GB2312"/>
          <w:color w:val="000000"/>
          <w:sz w:val="32"/>
          <w:szCs w:val="32"/>
        </w:rPr>
        <w:t xml:space="preserve"> </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对违反上述安全规定的，甲方将对相关人员及乙方进行经济处罚，直到解除合同；造成严重后果追究法律责任。</w:t>
      </w:r>
    </w:p>
    <w:p>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四、附则</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本协议须与《房屋租赁合同》同时签订，有同等法律效力。</w:t>
      </w:r>
    </w:p>
    <w:p>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本协议内容与现行法律、法规和规章不符之处，遵照现行法律、法规和规章执行。</w:t>
      </w:r>
    </w:p>
    <w:p>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本合同一式伍份，甲方执叁份、乙方执贰份。</w:t>
      </w:r>
    </w:p>
    <w:p>
      <w:pPr>
        <w:ind w:firstLine="640" w:firstLineChars="200"/>
        <w:rPr>
          <w:rFonts w:ascii="仿宋_GB2312" w:hAnsi="仿宋_GB2312" w:eastAsia="仿宋_GB2312" w:cs="仿宋_GB2312"/>
          <w:color w:val="000000"/>
          <w:sz w:val="32"/>
          <w:szCs w:val="32"/>
        </w:rPr>
      </w:pPr>
    </w:p>
    <w:p>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联系电话：86655698</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p/>
    <w:p/>
    <w:p/>
    <w:p/>
    <w:p/>
    <w:p/>
    <w:p/>
    <w:p/>
    <w:p/>
    <w:p/>
    <w:p/>
    <w:p/>
    <w:p/>
    <w:p/>
    <w:p/>
    <w:p/>
    <w:p/>
    <w:p/>
    <w:p/>
    <w:p/>
    <w:p/>
    <w:p/>
    <w:p/>
    <w:p/>
    <w:p/>
    <w:p>
      <w:r>
        <w:drawing>
          <wp:inline distT="0" distB="0" distL="114300" distR="114300">
            <wp:extent cx="5535295" cy="2908935"/>
            <wp:effectExtent l="0" t="0" r="8255"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535295" cy="2908935"/>
                    </a:xfrm>
                    <a:prstGeom prst="rect">
                      <a:avLst/>
                    </a:prstGeom>
                    <a:noFill/>
                    <a:ln>
                      <a:noFill/>
                    </a:ln>
                  </pic:spPr>
                </pic:pic>
              </a:graphicData>
            </a:graphic>
          </wp:inline>
        </w:drawing>
      </w:r>
      <w:r>
        <w:drawing>
          <wp:inline distT="0" distB="0" distL="114300" distR="114300">
            <wp:extent cx="5539740" cy="2578100"/>
            <wp:effectExtent l="0" t="0" r="3810" b="1270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tretch>
                      <a:fillRect/>
                    </a:stretch>
                  </pic:blipFill>
                  <pic:spPr>
                    <a:xfrm>
                      <a:off x="0" y="0"/>
                      <a:ext cx="5539740" cy="2578100"/>
                    </a:xfrm>
                    <a:prstGeom prst="rect">
                      <a:avLst/>
                    </a:prstGeom>
                    <a:noFill/>
                    <a:ln>
                      <a:noFill/>
                    </a:ln>
                  </pic:spPr>
                </pic:pic>
              </a:graphicData>
            </a:graphic>
          </wp:inline>
        </w:drawing>
      </w: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5"/>
                          </w:pPr>
                          <w:r>
                            <w:fldChar w:fldCharType="begin"/>
                          </w:r>
                          <w:r>
                            <w:instrText xml:space="preserve"> PAGE  \* MERGEFORMAT </w:instrText>
                          </w:r>
                          <w:r>
                            <w:fldChar w:fldCharType="separate"/>
                          </w:r>
                          <w:r>
                            <w:t>11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LNJWO7Q&#10;AAAABQEAAA8AAAAAAAAAAQAgAAAAIgAAAGRycy9kb3ducmV2LnhtbFBLAQIUABQAAAAIAIdO4kDI&#10;nqDCtgEAAFQDAAAOAAAAAAAAAAEAIAAAAB8BAABkcnMvZTJvRG9jLnhtbFBLBQYAAAAABgAGAFkB&#10;AABH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D7827"/>
    <w:multiLevelType w:val="singleLevel"/>
    <w:tmpl w:val="2CAD782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D91EDB"/>
    <w:rsid w:val="023D46EC"/>
    <w:rsid w:val="02902A6D"/>
    <w:rsid w:val="042E69E2"/>
    <w:rsid w:val="04502AFF"/>
    <w:rsid w:val="04B14F1D"/>
    <w:rsid w:val="053D3E77"/>
    <w:rsid w:val="06115025"/>
    <w:rsid w:val="078C6EA6"/>
    <w:rsid w:val="07CB4548"/>
    <w:rsid w:val="086F75C9"/>
    <w:rsid w:val="08B35707"/>
    <w:rsid w:val="0C0D512F"/>
    <w:rsid w:val="0EF333FC"/>
    <w:rsid w:val="0F2F3C44"/>
    <w:rsid w:val="11005262"/>
    <w:rsid w:val="11BF6ECB"/>
    <w:rsid w:val="12B96010"/>
    <w:rsid w:val="15826B8D"/>
    <w:rsid w:val="15EC3809"/>
    <w:rsid w:val="1726223B"/>
    <w:rsid w:val="17F6125D"/>
    <w:rsid w:val="18910E95"/>
    <w:rsid w:val="19153875"/>
    <w:rsid w:val="1B50328A"/>
    <w:rsid w:val="1C085913"/>
    <w:rsid w:val="1C7B4336"/>
    <w:rsid w:val="1CBF4223"/>
    <w:rsid w:val="1D69418F"/>
    <w:rsid w:val="1DC8538F"/>
    <w:rsid w:val="203B1E13"/>
    <w:rsid w:val="21D4251F"/>
    <w:rsid w:val="23F52C20"/>
    <w:rsid w:val="24213A15"/>
    <w:rsid w:val="2564005E"/>
    <w:rsid w:val="26920BFA"/>
    <w:rsid w:val="2BBD4024"/>
    <w:rsid w:val="2BE94E19"/>
    <w:rsid w:val="2CF9437A"/>
    <w:rsid w:val="2DE53D06"/>
    <w:rsid w:val="2E3D58F0"/>
    <w:rsid w:val="306768DA"/>
    <w:rsid w:val="31466869"/>
    <w:rsid w:val="32621481"/>
    <w:rsid w:val="32650F71"/>
    <w:rsid w:val="33527747"/>
    <w:rsid w:val="336F654B"/>
    <w:rsid w:val="33BE4DDD"/>
    <w:rsid w:val="34AA5361"/>
    <w:rsid w:val="34C915A1"/>
    <w:rsid w:val="35A4508E"/>
    <w:rsid w:val="37342474"/>
    <w:rsid w:val="373720A1"/>
    <w:rsid w:val="376C4B50"/>
    <w:rsid w:val="37841E99"/>
    <w:rsid w:val="37EE37B7"/>
    <w:rsid w:val="381551E7"/>
    <w:rsid w:val="38851CE3"/>
    <w:rsid w:val="38CA7D80"/>
    <w:rsid w:val="39495149"/>
    <w:rsid w:val="3A8F1281"/>
    <w:rsid w:val="3AE96BE3"/>
    <w:rsid w:val="3B1479D8"/>
    <w:rsid w:val="3B53405D"/>
    <w:rsid w:val="3DD511A5"/>
    <w:rsid w:val="3DF064DB"/>
    <w:rsid w:val="3F6A7BC7"/>
    <w:rsid w:val="3F782104"/>
    <w:rsid w:val="3F792C31"/>
    <w:rsid w:val="3F877B07"/>
    <w:rsid w:val="40DA6FCE"/>
    <w:rsid w:val="419C5498"/>
    <w:rsid w:val="41DF4BEC"/>
    <w:rsid w:val="425649B0"/>
    <w:rsid w:val="43711E6C"/>
    <w:rsid w:val="442073EE"/>
    <w:rsid w:val="4508410A"/>
    <w:rsid w:val="456D6663"/>
    <w:rsid w:val="457C263C"/>
    <w:rsid w:val="461E0BEE"/>
    <w:rsid w:val="47503B46"/>
    <w:rsid w:val="482D08BE"/>
    <w:rsid w:val="48FD5F50"/>
    <w:rsid w:val="4C59524B"/>
    <w:rsid w:val="4C72455F"/>
    <w:rsid w:val="4D6245D3"/>
    <w:rsid w:val="4EAD187E"/>
    <w:rsid w:val="50770912"/>
    <w:rsid w:val="50882C53"/>
    <w:rsid w:val="50EA500B"/>
    <w:rsid w:val="514C537E"/>
    <w:rsid w:val="52D00823"/>
    <w:rsid w:val="532742F5"/>
    <w:rsid w:val="55BD4A9D"/>
    <w:rsid w:val="568A7075"/>
    <w:rsid w:val="59260BAB"/>
    <w:rsid w:val="5B370E4D"/>
    <w:rsid w:val="5CB6036B"/>
    <w:rsid w:val="5D061E08"/>
    <w:rsid w:val="5E317DD6"/>
    <w:rsid w:val="5F102338"/>
    <w:rsid w:val="606C3347"/>
    <w:rsid w:val="61C15914"/>
    <w:rsid w:val="61CB6793"/>
    <w:rsid w:val="642301C1"/>
    <w:rsid w:val="65DA0D53"/>
    <w:rsid w:val="67206C39"/>
    <w:rsid w:val="68BE495C"/>
    <w:rsid w:val="69AE2A4F"/>
    <w:rsid w:val="69B53FB1"/>
    <w:rsid w:val="6A1F367A"/>
    <w:rsid w:val="6B0F149F"/>
    <w:rsid w:val="6C861C34"/>
    <w:rsid w:val="6CF77B06"/>
    <w:rsid w:val="6D250063"/>
    <w:rsid w:val="6D57537F"/>
    <w:rsid w:val="6DFF1C9E"/>
    <w:rsid w:val="6E4D2D00"/>
    <w:rsid w:val="6F1D4EC1"/>
    <w:rsid w:val="6F270FEB"/>
    <w:rsid w:val="6F765F90"/>
    <w:rsid w:val="71F4319C"/>
    <w:rsid w:val="730B30A4"/>
    <w:rsid w:val="759A04FF"/>
    <w:rsid w:val="75B16F3B"/>
    <w:rsid w:val="76C43A85"/>
    <w:rsid w:val="76F93003"/>
    <w:rsid w:val="78801C2E"/>
    <w:rsid w:val="79D42E13"/>
    <w:rsid w:val="7ACE4ED2"/>
    <w:rsid w:val="7C2E19A1"/>
    <w:rsid w:val="7C3F595C"/>
    <w:rsid w:val="7D9D293A"/>
    <w:rsid w:val="7E0E1A8A"/>
    <w:rsid w:val="7F833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qFormat/>
    <w:uiPriority w:val="0"/>
    <w:pPr>
      <w:spacing w:beforeAutospacing="1" w:afterAutospacing="1"/>
      <w:jc w:val="left"/>
    </w:pPr>
    <w:rPr>
      <w:rFonts w:ascii="Calibri" w:hAnsi="Calibri" w:eastAsia="宋体"/>
      <w:kern w:val="0"/>
      <w:sz w:val="24"/>
      <w:szCs w:val="24"/>
    </w:rPr>
  </w:style>
  <w:style w:type="character" w:styleId="10">
    <w:name w:val="page number"/>
    <w:qFormat/>
    <w:uiPriority w:val="0"/>
  </w:style>
  <w:style w:type="paragraph" w:customStyle="1" w:styleId="11">
    <w:name w:val="List Paragraph"/>
    <w:basedOn w:val="1"/>
    <w:qFormat/>
    <w:uiPriority w:val="0"/>
    <w:pPr>
      <w:ind w:firstLine="420" w:firstLineChars="200"/>
    </w:pPr>
    <w:rPr>
      <w:rFonts w:ascii="Calibri" w:hAnsi="Calibri"/>
      <w:szCs w:val="22"/>
    </w:rPr>
  </w:style>
  <w:style w:type="paragraph" w:customStyle="1" w:styleId="12">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3">
    <w:name w:val="p0"/>
    <w:basedOn w:val="1"/>
    <w:unhideWhenUsed/>
    <w:qFormat/>
    <w:uiPriority w:val="99"/>
    <w:pPr>
      <w:widowControl/>
    </w:pPr>
    <w:rPr>
      <w:rFonts w:hint="eastAsia"/>
    </w:rPr>
  </w:style>
  <w:style w:type="paragraph" w:customStyle="1" w:styleId="14">
    <w:name w:val="content"/>
    <w:basedOn w:val="1"/>
    <w:qFormat/>
    <w:uiPriority w:val="0"/>
    <w:pPr>
      <w:widowControl/>
      <w:spacing w:line="300" w:lineRule="auto"/>
      <w:jc w:val="both"/>
    </w:pPr>
    <w:rPr>
      <w:rFonts w:ascii="仿宋_GB2312" w:hAnsi="宋体" w:eastAsia="仿宋_GB2312" w:cs="宋体"/>
      <w:color w:val="auto"/>
      <w:sz w:val="32"/>
      <w:szCs w:val="32"/>
      <w:lang w:eastAsia="zh-CN" w:bidi="ar-SA"/>
    </w:rPr>
  </w:style>
  <w:style w:type="paragraph" w:customStyle="1" w:styleId="15">
    <w:name w:val="Header or footer|1"/>
    <w:basedOn w:val="1"/>
    <w:qFormat/>
    <w:uiPriority w:val="0"/>
    <w:rPr>
      <w:sz w:val="28"/>
      <w:szCs w:val="28"/>
      <w:lang w:val="zh-TW" w:eastAsia="zh-TW" w:bidi="zh-TW"/>
    </w:rPr>
  </w:style>
  <w:style w:type="paragraph" w:customStyle="1" w:styleId="16">
    <w:name w:val="正文 1.1.1"/>
    <w:basedOn w:val="1"/>
    <w:next w:val="1"/>
    <w:qFormat/>
    <w:uiPriority w:val="0"/>
    <w:pPr>
      <w:tabs>
        <w:tab w:val="left" w:pos="851"/>
      </w:tabs>
      <w:outlineLvl w:val="2"/>
    </w:pPr>
    <w:rPr>
      <w:rFonts w:hAnsi="宋体"/>
      <w:color w:val="FF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10549</Words>
  <Characters>10903</Characters>
  <Lines>0</Lines>
  <Paragraphs>0</Paragraphs>
  <TotalTime>5</TotalTime>
  <ScaleCrop>false</ScaleCrop>
  <LinksUpToDate>false</LinksUpToDate>
  <CharactersWithSpaces>11958</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Administrator</cp:lastModifiedBy>
  <dcterms:modified xsi:type="dcterms:W3CDTF">2025-07-21T01:16:08Z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